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E2DA" w14:textId="77777777" w:rsidR="00DB6F0D" w:rsidRPr="00B824AA" w:rsidRDefault="00DB6F0D" w:rsidP="00DB6F0D">
      <w:pPr>
        <w:pStyle w:val="Title"/>
        <w:jc w:val="center"/>
        <w:rPr>
          <w:rFonts w:ascii="Times New Roman" w:hAnsi="Times New Roman" w:cs="Times New Roman"/>
        </w:rPr>
      </w:pPr>
    </w:p>
    <w:p w14:paraId="37CA1982" w14:textId="77777777" w:rsidR="00DB6F0D" w:rsidRPr="00B824AA" w:rsidRDefault="00DB6F0D" w:rsidP="00DB6F0D">
      <w:pPr>
        <w:pStyle w:val="Title"/>
        <w:jc w:val="center"/>
        <w:rPr>
          <w:rFonts w:ascii="Times New Roman" w:hAnsi="Times New Roman" w:cs="Times New Roman"/>
        </w:rPr>
      </w:pPr>
    </w:p>
    <w:p w14:paraId="6BA5DED0" w14:textId="77777777" w:rsidR="00DB6F0D" w:rsidRPr="00B824AA" w:rsidRDefault="00DB6F0D" w:rsidP="00DB6F0D">
      <w:pPr>
        <w:pStyle w:val="Title"/>
        <w:jc w:val="center"/>
        <w:rPr>
          <w:rFonts w:ascii="Times New Roman" w:hAnsi="Times New Roman" w:cs="Times New Roman"/>
        </w:rPr>
      </w:pPr>
    </w:p>
    <w:p w14:paraId="1FB717A2" w14:textId="77777777" w:rsidR="00DB6F0D" w:rsidRPr="00B824AA" w:rsidRDefault="00DB6F0D" w:rsidP="00DB6F0D">
      <w:pPr>
        <w:pStyle w:val="Title"/>
        <w:jc w:val="center"/>
        <w:rPr>
          <w:rFonts w:ascii="Times New Roman" w:hAnsi="Times New Roman" w:cs="Times New Roman"/>
        </w:rPr>
      </w:pPr>
    </w:p>
    <w:p w14:paraId="3DDA8665" w14:textId="2D5A9B0E" w:rsidR="00CF04A3" w:rsidRDefault="00C465AF" w:rsidP="00CF04A3">
      <w:pPr>
        <w:pStyle w:val="Title"/>
        <w:jc w:val="center"/>
        <w:rPr>
          <w:rFonts w:ascii="Times New Roman" w:hAnsi="Times New Roman" w:cs="Times New Roman"/>
          <w:i/>
          <w:iCs/>
        </w:rPr>
      </w:pPr>
      <w:r w:rsidRPr="00B824AA">
        <w:rPr>
          <w:rFonts w:ascii="Times New Roman" w:hAnsi="Times New Roman" w:cs="Times New Roman"/>
        </w:rPr>
        <w:t xml:space="preserve">Rozwój społeczny w Polsce na tle krajów Unii Europejskiej - wskaźnik </w:t>
      </w:r>
      <w:proofErr w:type="spellStart"/>
      <w:r w:rsidRPr="00B824AA">
        <w:rPr>
          <w:rFonts w:ascii="Times New Roman" w:hAnsi="Times New Roman" w:cs="Times New Roman"/>
          <w:i/>
          <w:iCs/>
        </w:rPr>
        <w:t>catch</w:t>
      </w:r>
      <w:proofErr w:type="spellEnd"/>
      <w:r w:rsidRPr="00B824AA">
        <w:rPr>
          <w:rFonts w:ascii="Times New Roman" w:hAnsi="Times New Roman" w:cs="Times New Roman"/>
          <w:i/>
          <w:iCs/>
        </w:rPr>
        <w:t>-up</w:t>
      </w:r>
      <w:r w:rsidR="00CF04A3">
        <w:rPr>
          <w:rFonts w:ascii="Times New Roman" w:hAnsi="Times New Roman" w:cs="Times New Roman"/>
          <w:i/>
          <w:iCs/>
        </w:rPr>
        <w:t>.</w:t>
      </w:r>
    </w:p>
    <w:p w14:paraId="787BD7B1" w14:textId="74B4CE9C" w:rsidR="00CF04A3" w:rsidRPr="00CF04A3" w:rsidRDefault="00CF04A3" w:rsidP="00CF04A3">
      <w:pPr>
        <w:jc w:val="center"/>
        <w:rPr>
          <w:rFonts w:ascii="Times New Roman" w:eastAsiaTheme="majorEastAsia" w:hAnsi="Times New Roman" w:cs="Times New Roman"/>
          <w:spacing w:val="-10"/>
          <w:kern w:val="28"/>
          <w:sz w:val="48"/>
          <w:szCs w:val="48"/>
        </w:rPr>
      </w:pPr>
      <w:r w:rsidRPr="00CF04A3">
        <w:rPr>
          <w:rFonts w:ascii="Times New Roman" w:eastAsiaTheme="majorEastAsia" w:hAnsi="Times New Roman" w:cs="Times New Roman"/>
          <w:spacing w:val="-10"/>
          <w:kern w:val="28"/>
          <w:sz w:val="48"/>
          <w:szCs w:val="48"/>
        </w:rPr>
        <w:t>Edycja 202</w:t>
      </w:r>
      <w:r w:rsidR="0092113E">
        <w:rPr>
          <w:rFonts w:ascii="Times New Roman" w:eastAsiaTheme="majorEastAsia" w:hAnsi="Times New Roman" w:cs="Times New Roman"/>
          <w:spacing w:val="-10"/>
          <w:kern w:val="28"/>
          <w:sz w:val="48"/>
          <w:szCs w:val="48"/>
        </w:rPr>
        <w:t>4</w:t>
      </w:r>
    </w:p>
    <w:p w14:paraId="50D42847" w14:textId="77777777" w:rsidR="00C465AF" w:rsidRPr="00B824AA" w:rsidRDefault="00C465AF" w:rsidP="00A05EA4">
      <w:pPr>
        <w:jc w:val="center"/>
        <w:rPr>
          <w:rFonts w:ascii="Times New Roman" w:hAnsi="Times New Roman" w:cs="Times New Roman"/>
          <w:b/>
          <w:bCs/>
          <w:i/>
          <w:iCs/>
          <w:sz w:val="24"/>
          <w:szCs w:val="24"/>
        </w:rPr>
      </w:pPr>
    </w:p>
    <w:p w14:paraId="60CC98B6" w14:textId="7E5CAE51" w:rsidR="00C465AF"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Agnieszka Chłoń-Domińczak</w:t>
      </w:r>
    </w:p>
    <w:p w14:paraId="23BEC6B8" w14:textId="41F7CCA6" w:rsidR="00A05EA4"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Tomasz Panek</w:t>
      </w:r>
    </w:p>
    <w:p w14:paraId="43472227" w14:textId="33F3C655" w:rsidR="00A05EA4"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 xml:space="preserve">Paweł </w:t>
      </w:r>
      <w:proofErr w:type="spellStart"/>
      <w:r w:rsidRPr="00B824AA">
        <w:rPr>
          <w:rFonts w:ascii="Times New Roman" w:hAnsi="Times New Roman" w:cs="Times New Roman"/>
          <w:sz w:val="24"/>
          <w:szCs w:val="24"/>
        </w:rPr>
        <w:t>Bartoszczuk</w:t>
      </w:r>
      <w:proofErr w:type="spellEnd"/>
    </w:p>
    <w:p w14:paraId="3B2D10F5" w14:textId="3C1903FD" w:rsidR="00A05EA4"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Adam Czerniak</w:t>
      </w:r>
    </w:p>
    <w:p w14:paraId="04710564" w14:textId="70FD5F8A" w:rsidR="00A05EA4"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Iga Magda</w:t>
      </w:r>
    </w:p>
    <w:p w14:paraId="681503E5" w14:textId="04C05DDC" w:rsidR="00A05EA4" w:rsidRPr="00B824AA"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Paweł Strzelecki</w:t>
      </w:r>
    </w:p>
    <w:p w14:paraId="656DF739" w14:textId="42C45244" w:rsidR="00A05EA4" w:rsidRDefault="00A05EA4" w:rsidP="00A05EA4">
      <w:pPr>
        <w:jc w:val="center"/>
        <w:rPr>
          <w:rFonts w:ascii="Times New Roman" w:hAnsi="Times New Roman" w:cs="Times New Roman"/>
          <w:sz w:val="24"/>
          <w:szCs w:val="24"/>
        </w:rPr>
      </w:pPr>
      <w:r w:rsidRPr="00B824AA">
        <w:rPr>
          <w:rFonts w:ascii="Times New Roman" w:hAnsi="Times New Roman" w:cs="Times New Roman"/>
          <w:sz w:val="24"/>
          <w:szCs w:val="24"/>
        </w:rPr>
        <w:t>Adam Szulc</w:t>
      </w:r>
    </w:p>
    <w:p w14:paraId="0492DB2B" w14:textId="61919532" w:rsidR="00871E8B" w:rsidRPr="00B824AA" w:rsidRDefault="00871E8B" w:rsidP="00A05EA4">
      <w:pPr>
        <w:jc w:val="center"/>
        <w:rPr>
          <w:rFonts w:ascii="Times New Roman" w:hAnsi="Times New Roman" w:cs="Times New Roman"/>
          <w:sz w:val="24"/>
          <w:szCs w:val="24"/>
        </w:rPr>
      </w:pPr>
      <w:r>
        <w:rPr>
          <w:rFonts w:ascii="Times New Roman" w:hAnsi="Times New Roman" w:cs="Times New Roman"/>
          <w:sz w:val="24"/>
          <w:szCs w:val="24"/>
        </w:rPr>
        <w:t>Barbara Więckowska</w:t>
      </w:r>
    </w:p>
    <w:p w14:paraId="5C724379" w14:textId="77777777" w:rsidR="00146222" w:rsidRPr="00B824AA" w:rsidRDefault="00146222">
      <w:pPr>
        <w:rPr>
          <w:rFonts w:ascii="Times New Roman" w:hAnsi="Times New Roman" w:cs="Times New Roman"/>
          <w:sz w:val="24"/>
          <w:szCs w:val="24"/>
        </w:rPr>
      </w:pPr>
    </w:p>
    <w:p w14:paraId="30D623E3" w14:textId="77777777" w:rsidR="00DB6F0D" w:rsidRPr="00B824AA" w:rsidRDefault="00DB6F0D">
      <w:pPr>
        <w:rPr>
          <w:rFonts w:ascii="Times New Roman" w:hAnsi="Times New Roman" w:cs="Times New Roman"/>
          <w:sz w:val="24"/>
          <w:szCs w:val="24"/>
        </w:rPr>
      </w:pPr>
    </w:p>
    <w:p w14:paraId="7AA75E8D" w14:textId="77777777" w:rsidR="00DB6F0D" w:rsidRPr="00B824AA" w:rsidRDefault="00DB6F0D">
      <w:pPr>
        <w:rPr>
          <w:rFonts w:ascii="Times New Roman" w:hAnsi="Times New Roman" w:cs="Times New Roman"/>
          <w:sz w:val="24"/>
          <w:szCs w:val="24"/>
        </w:rPr>
      </w:pPr>
    </w:p>
    <w:p w14:paraId="7CD0AE4C" w14:textId="77777777" w:rsidR="00146222" w:rsidRPr="00B824AA" w:rsidRDefault="00146222">
      <w:pPr>
        <w:rPr>
          <w:rFonts w:ascii="Times New Roman" w:hAnsi="Times New Roman" w:cs="Times New Roman"/>
          <w:sz w:val="24"/>
          <w:szCs w:val="24"/>
        </w:rPr>
      </w:pPr>
    </w:p>
    <w:p w14:paraId="00E66B8A" w14:textId="77777777" w:rsidR="00146222" w:rsidRPr="00B824AA" w:rsidRDefault="00146222">
      <w:pPr>
        <w:rPr>
          <w:rFonts w:ascii="Times New Roman" w:hAnsi="Times New Roman" w:cs="Times New Roman"/>
          <w:sz w:val="24"/>
          <w:szCs w:val="24"/>
        </w:rPr>
      </w:pPr>
    </w:p>
    <w:p w14:paraId="114B9595" w14:textId="77777777" w:rsidR="00146222" w:rsidRPr="00B824AA" w:rsidRDefault="00146222">
      <w:pPr>
        <w:rPr>
          <w:rFonts w:ascii="Times New Roman" w:hAnsi="Times New Roman" w:cs="Times New Roman"/>
          <w:sz w:val="24"/>
          <w:szCs w:val="24"/>
        </w:rPr>
      </w:pPr>
    </w:p>
    <w:p w14:paraId="498EE4C8" w14:textId="7042327C" w:rsidR="00146222" w:rsidRPr="00B824AA" w:rsidRDefault="00146222" w:rsidP="00146222">
      <w:pPr>
        <w:jc w:val="center"/>
        <w:rPr>
          <w:rFonts w:ascii="Times New Roman" w:hAnsi="Times New Roman" w:cs="Times New Roman"/>
          <w:sz w:val="24"/>
          <w:szCs w:val="24"/>
        </w:rPr>
      </w:pPr>
      <w:r w:rsidRPr="00B824AA">
        <w:rPr>
          <w:rFonts w:ascii="Times New Roman" w:hAnsi="Times New Roman" w:cs="Times New Roman"/>
          <w:sz w:val="24"/>
          <w:szCs w:val="24"/>
        </w:rPr>
        <w:t xml:space="preserve">Warszawa, </w:t>
      </w:r>
      <w:r w:rsidR="0092113E">
        <w:rPr>
          <w:rFonts w:ascii="Times New Roman" w:hAnsi="Times New Roman" w:cs="Times New Roman"/>
          <w:sz w:val="24"/>
          <w:szCs w:val="24"/>
        </w:rPr>
        <w:t>sierpień</w:t>
      </w:r>
      <w:r w:rsidRPr="00B824AA">
        <w:rPr>
          <w:rFonts w:ascii="Times New Roman" w:hAnsi="Times New Roman" w:cs="Times New Roman"/>
          <w:sz w:val="24"/>
          <w:szCs w:val="24"/>
        </w:rPr>
        <w:t xml:space="preserve"> 2024</w:t>
      </w:r>
    </w:p>
    <w:p w14:paraId="06775AF0" w14:textId="77777777" w:rsidR="00DB6F0D" w:rsidRPr="00B824AA" w:rsidRDefault="00DB6F0D">
      <w:pPr>
        <w:rPr>
          <w:rFonts w:ascii="Times New Roman" w:hAnsi="Times New Roman" w:cs="Times New Roman"/>
          <w:sz w:val="24"/>
          <w:szCs w:val="24"/>
        </w:rPr>
      </w:pPr>
      <w:r w:rsidRPr="00B824AA">
        <w:rPr>
          <w:rFonts w:ascii="Times New Roman" w:hAnsi="Times New Roman" w:cs="Times New Roman"/>
          <w:sz w:val="24"/>
          <w:szCs w:val="24"/>
        </w:rPr>
        <w:br w:type="page"/>
      </w:r>
    </w:p>
    <w:sdt>
      <w:sdtPr>
        <w:rPr>
          <w:rFonts w:ascii="Times New Roman" w:eastAsiaTheme="minorEastAsia" w:hAnsi="Times New Roman" w:cs="Times New Roman"/>
          <w:color w:val="auto"/>
          <w:kern w:val="2"/>
          <w:sz w:val="22"/>
          <w:szCs w:val="22"/>
          <w:lang w:eastAsia="en-US"/>
          <w14:ligatures w14:val="standardContextual"/>
        </w:rPr>
        <w:id w:val="2042934801"/>
        <w:docPartObj>
          <w:docPartGallery w:val="Table of Contents"/>
          <w:docPartUnique/>
        </w:docPartObj>
      </w:sdtPr>
      <w:sdtEndPr>
        <w:rPr>
          <w:b/>
          <w:bCs/>
        </w:rPr>
      </w:sdtEndPr>
      <w:sdtContent>
        <w:p w14:paraId="275BF315" w14:textId="1B523C5E" w:rsidR="00DB6F0D" w:rsidRPr="00B824AA" w:rsidRDefault="00DB6F0D">
          <w:pPr>
            <w:pStyle w:val="TOCHeading"/>
            <w:rPr>
              <w:rFonts w:ascii="Times New Roman" w:hAnsi="Times New Roman" w:cs="Times New Roman"/>
            </w:rPr>
          </w:pPr>
          <w:r w:rsidRPr="00B824AA">
            <w:rPr>
              <w:rFonts w:ascii="Times New Roman" w:hAnsi="Times New Roman" w:cs="Times New Roman"/>
            </w:rPr>
            <w:t>Spis treści</w:t>
          </w:r>
        </w:p>
        <w:p w14:paraId="0420E944" w14:textId="77777777" w:rsidR="00DB6F0D" w:rsidRPr="00B824AA" w:rsidRDefault="00DB6F0D" w:rsidP="00DB6F0D">
          <w:pPr>
            <w:rPr>
              <w:rFonts w:ascii="Times New Roman" w:hAnsi="Times New Roman" w:cs="Times New Roman"/>
              <w:lang w:eastAsia="pl-PL"/>
            </w:rPr>
          </w:pPr>
        </w:p>
        <w:p w14:paraId="22E074E8" w14:textId="38CBFC96" w:rsidR="001210F2" w:rsidRPr="00B824AA" w:rsidRDefault="00DB6F0D">
          <w:pPr>
            <w:pStyle w:val="TOC1"/>
            <w:tabs>
              <w:tab w:val="right" w:leader="dot" w:pos="9062"/>
            </w:tabs>
            <w:rPr>
              <w:rFonts w:ascii="Times New Roman" w:eastAsiaTheme="minorEastAsia" w:hAnsi="Times New Roman" w:cs="Times New Roman"/>
              <w:noProof/>
              <w:sz w:val="24"/>
              <w:szCs w:val="24"/>
              <w:lang w:eastAsia="pl-PL"/>
            </w:rPr>
          </w:pPr>
          <w:r w:rsidRPr="00B824AA">
            <w:rPr>
              <w:rFonts w:ascii="Times New Roman" w:hAnsi="Times New Roman" w:cs="Times New Roman"/>
            </w:rPr>
            <w:fldChar w:fldCharType="begin"/>
          </w:r>
          <w:r w:rsidRPr="00B824AA">
            <w:rPr>
              <w:rFonts w:ascii="Times New Roman" w:hAnsi="Times New Roman" w:cs="Times New Roman"/>
            </w:rPr>
            <w:instrText xml:space="preserve"> TOC \o "1-3" \h \z \u </w:instrText>
          </w:r>
          <w:r w:rsidRPr="00B824AA">
            <w:rPr>
              <w:rFonts w:ascii="Times New Roman" w:hAnsi="Times New Roman" w:cs="Times New Roman"/>
            </w:rPr>
            <w:fldChar w:fldCharType="separate"/>
          </w:r>
          <w:hyperlink w:anchor="_Toc162905456" w:history="1">
            <w:r w:rsidR="001210F2" w:rsidRPr="00B824AA">
              <w:rPr>
                <w:rStyle w:val="Hyperlink"/>
                <w:rFonts w:ascii="Times New Roman" w:hAnsi="Times New Roman" w:cs="Times New Roman"/>
                <w:noProof/>
              </w:rPr>
              <w:t>Wprowadzenie</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_Toc162905456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3</w:t>
            </w:r>
            <w:r w:rsidR="001210F2" w:rsidRPr="00B824AA">
              <w:rPr>
                <w:rFonts w:ascii="Times New Roman" w:hAnsi="Times New Roman" w:cs="Times New Roman"/>
                <w:noProof/>
                <w:webHidden/>
              </w:rPr>
              <w:fldChar w:fldCharType="end"/>
            </w:r>
          </w:hyperlink>
        </w:p>
        <w:p w14:paraId="17F19B76" w14:textId="57C1DFAE"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57" w:history="1">
            <w:r w:rsidR="001210F2" w:rsidRPr="00B824AA">
              <w:rPr>
                <w:rStyle w:val="Hyperlink"/>
                <w:rFonts w:ascii="Times New Roman" w:hAnsi="Times New Roman" w:cs="Times New Roman"/>
                <w:noProof/>
              </w:rPr>
              <w:t>1.</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 xml:space="preserve">Wskaźnik </w:t>
            </w:r>
            <w:r w:rsidR="001210F2" w:rsidRPr="00B824AA">
              <w:rPr>
                <w:rStyle w:val="Hyperlink"/>
                <w:rFonts w:ascii="Times New Roman" w:hAnsi="Times New Roman" w:cs="Times New Roman"/>
                <w:i/>
                <w:iCs/>
                <w:noProof/>
              </w:rPr>
              <w:t>catch-up</w:t>
            </w:r>
            <w:r w:rsidR="001210F2" w:rsidRPr="00B824AA">
              <w:rPr>
                <w:rStyle w:val="Hyperlink"/>
                <w:rFonts w:ascii="Times New Roman" w:hAnsi="Times New Roman" w:cs="Times New Roman"/>
                <w:noProof/>
              </w:rPr>
              <w:t xml:space="preserve"> grupowy i syntetyczny: podsumowanie wyników</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_Toc162905457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4</w:t>
            </w:r>
            <w:r w:rsidR="001210F2" w:rsidRPr="00B824AA">
              <w:rPr>
                <w:rFonts w:ascii="Times New Roman" w:hAnsi="Times New Roman" w:cs="Times New Roman"/>
                <w:noProof/>
                <w:webHidden/>
              </w:rPr>
              <w:fldChar w:fldCharType="end"/>
            </w:r>
          </w:hyperlink>
        </w:p>
        <w:p w14:paraId="2AE5B3AB" w14:textId="293634A8"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58" w:history="1">
            <w:r w:rsidR="001210F2" w:rsidRPr="00B824AA">
              <w:rPr>
                <w:rStyle w:val="Hyperlink"/>
                <w:rFonts w:ascii="Times New Roman" w:hAnsi="Times New Roman" w:cs="Times New Roman"/>
                <w:noProof/>
              </w:rPr>
              <w:t>2.</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 xml:space="preserve">Metodyka szacowania wskaźnika </w:t>
            </w:r>
            <w:r w:rsidR="001210F2" w:rsidRPr="00B824AA">
              <w:rPr>
                <w:rStyle w:val="Hyperlink"/>
                <w:rFonts w:ascii="Times New Roman" w:hAnsi="Times New Roman" w:cs="Times New Roman"/>
                <w:i/>
                <w:iCs/>
                <w:noProof/>
              </w:rPr>
              <w:t>catch-up</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_Toc162905458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8</w:t>
            </w:r>
            <w:r w:rsidR="001210F2" w:rsidRPr="00B824AA">
              <w:rPr>
                <w:rFonts w:ascii="Times New Roman" w:hAnsi="Times New Roman" w:cs="Times New Roman"/>
                <w:noProof/>
                <w:webHidden/>
              </w:rPr>
              <w:fldChar w:fldCharType="end"/>
            </w:r>
          </w:hyperlink>
        </w:p>
        <w:p w14:paraId="492A6AA2" w14:textId="44407373" w:rsidR="001210F2" w:rsidRPr="00B824AA" w:rsidRDefault="00242DAD">
          <w:pPr>
            <w:pStyle w:val="TOC2"/>
            <w:tabs>
              <w:tab w:val="left" w:pos="960"/>
              <w:tab w:val="right" w:leader="dot" w:pos="9062"/>
            </w:tabs>
            <w:rPr>
              <w:rFonts w:ascii="Times New Roman" w:eastAsiaTheme="minorEastAsia" w:hAnsi="Times New Roman" w:cs="Times New Roman"/>
              <w:noProof/>
              <w:sz w:val="24"/>
              <w:szCs w:val="24"/>
              <w:lang w:eastAsia="pl-PL"/>
            </w:rPr>
          </w:pPr>
          <w:hyperlink w:anchor="_Toc162905459" w:history="1">
            <w:r w:rsidR="001210F2" w:rsidRPr="00B824AA">
              <w:rPr>
                <w:rStyle w:val="Hyperlink"/>
                <w:rFonts w:ascii="Times New Roman" w:hAnsi="Times New Roman" w:cs="Times New Roman"/>
                <w:noProof/>
              </w:rPr>
              <w:t>2.1.</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Założenia systemu porównań</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_Toc162905459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8</w:t>
            </w:r>
            <w:r w:rsidR="001210F2" w:rsidRPr="00B824AA">
              <w:rPr>
                <w:rFonts w:ascii="Times New Roman" w:hAnsi="Times New Roman" w:cs="Times New Roman"/>
                <w:noProof/>
                <w:webHidden/>
              </w:rPr>
              <w:fldChar w:fldCharType="end"/>
            </w:r>
          </w:hyperlink>
        </w:p>
        <w:p w14:paraId="7B499593" w14:textId="63A3373A" w:rsidR="001210F2" w:rsidRPr="00B824AA" w:rsidRDefault="00242DAD">
          <w:pPr>
            <w:pStyle w:val="TOC2"/>
            <w:tabs>
              <w:tab w:val="left" w:pos="960"/>
              <w:tab w:val="right" w:leader="dot" w:pos="9062"/>
            </w:tabs>
            <w:rPr>
              <w:rFonts w:ascii="Times New Roman" w:eastAsiaTheme="minorEastAsia" w:hAnsi="Times New Roman" w:cs="Times New Roman"/>
              <w:noProof/>
              <w:sz w:val="24"/>
              <w:szCs w:val="24"/>
              <w:lang w:eastAsia="pl-PL"/>
            </w:rPr>
          </w:pPr>
          <w:hyperlink w:anchor="_Toc162905460" w:history="1">
            <w:r w:rsidR="001210F2" w:rsidRPr="00B824AA">
              <w:rPr>
                <w:rStyle w:val="Hyperlink"/>
                <w:rFonts w:ascii="Times New Roman" w:hAnsi="Times New Roman" w:cs="Times New Roman"/>
                <w:i/>
                <w:iCs/>
                <w:noProof/>
              </w:rPr>
              <w:t>2.2.</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 xml:space="preserve">Konstrukcja wskaźników </w:t>
            </w:r>
            <w:r w:rsidR="009B2D4F">
              <w:rPr>
                <w:rStyle w:val="Hyperlink"/>
                <w:rFonts w:ascii="Times New Roman" w:hAnsi="Times New Roman" w:cs="Times New Roman"/>
                <w:i/>
                <w:iCs/>
                <w:noProof/>
              </w:rPr>
              <w:t>catch-up</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_Toc162905460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9</w:t>
            </w:r>
            <w:r w:rsidR="001210F2" w:rsidRPr="00B824AA">
              <w:rPr>
                <w:rFonts w:ascii="Times New Roman" w:hAnsi="Times New Roman" w:cs="Times New Roman"/>
                <w:noProof/>
                <w:webHidden/>
              </w:rPr>
              <w:fldChar w:fldCharType="end"/>
            </w:r>
          </w:hyperlink>
        </w:p>
        <w:p w14:paraId="50FC289B" w14:textId="68BE87A0" w:rsidR="001210F2" w:rsidRPr="00B824AA" w:rsidRDefault="00242DAD">
          <w:pPr>
            <w:pStyle w:val="TOC2"/>
            <w:tabs>
              <w:tab w:val="left" w:pos="960"/>
              <w:tab w:val="right" w:leader="dot" w:pos="9062"/>
            </w:tabs>
            <w:rPr>
              <w:rFonts w:ascii="Times New Roman" w:eastAsiaTheme="minorEastAsia" w:hAnsi="Times New Roman" w:cs="Times New Roman"/>
              <w:noProof/>
              <w:sz w:val="24"/>
              <w:szCs w:val="24"/>
              <w:lang w:eastAsia="pl-PL"/>
            </w:rPr>
          </w:pPr>
          <w:hyperlink w:anchor="_Toc162905461" w:history="1">
            <w:r w:rsidR="001210F2" w:rsidRPr="00B824AA">
              <w:rPr>
                <w:rStyle w:val="Hyperlink"/>
                <w:rFonts w:ascii="Times New Roman" w:hAnsi="Times New Roman" w:cs="Times New Roman"/>
                <w:noProof/>
              </w:rPr>
              <w:t>2.3.</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Zastosowanie metody analizy hierarchicznej do wyznaczania wag grupowych wskaźników poziomu rozwoju społecznego</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_Toc162905461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11</w:t>
            </w:r>
            <w:r w:rsidR="001210F2" w:rsidRPr="00B824AA">
              <w:rPr>
                <w:rFonts w:ascii="Times New Roman" w:hAnsi="Times New Roman" w:cs="Times New Roman"/>
                <w:noProof/>
                <w:webHidden/>
              </w:rPr>
              <w:fldChar w:fldCharType="end"/>
            </w:r>
          </w:hyperlink>
        </w:p>
        <w:p w14:paraId="74AE940D" w14:textId="10A8AA13"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2" w:history="1">
            <w:r w:rsidR="001210F2" w:rsidRPr="00B824AA">
              <w:rPr>
                <w:rStyle w:val="Hyperlink"/>
                <w:rFonts w:ascii="Times New Roman" w:hAnsi="Times New Roman" w:cs="Times New Roman"/>
                <w:noProof/>
              </w:rPr>
              <w:t>3.</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Dochody i deprywacja materialna</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_Toc162905462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13</w:t>
            </w:r>
            <w:r w:rsidR="001210F2" w:rsidRPr="00B824AA">
              <w:rPr>
                <w:rFonts w:ascii="Times New Roman" w:hAnsi="Times New Roman" w:cs="Times New Roman"/>
                <w:noProof/>
                <w:webHidden/>
              </w:rPr>
              <w:fldChar w:fldCharType="end"/>
            </w:r>
          </w:hyperlink>
        </w:p>
        <w:p w14:paraId="6872BD71" w14:textId="31E28999"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3" w:history="1">
            <w:r w:rsidR="001210F2" w:rsidRPr="00B824AA">
              <w:rPr>
                <w:rStyle w:val="Hyperlink"/>
                <w:rFonts w:ascii="Times New Roman" w:hAnsi="Times New Roman" w:cs="Times New Roman"/>
                <w:noProof/>
              </w:rPr>
              <w:t>4.</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Rynek pracy</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_Toc162905463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17</w:t>
            </w:r>
            <w:r w:rsidR="001210F2" w:rsidRPr="00B824AA">
              <w:rPr>
                <w:rFonts w:ascii="Times New Roman" w:hAnsi="Times New Roman" w:cs="Times New Roman"/>
                <w:noProof/>
                <w:webHidden/>
              </w:rPr>
              <w:fldChar w:fldCharType="end"/>
            </w:r>
          </w:hyperlink>
        </w:p>
        <w:p w14:paraId="14DA88AC" w14:textId="63D1C922"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4" w:history="1">
            <w:r w:rsidR="001210F2" w:rsidRPr="00B824AA">
              <w:rPr>
                <w:rStyle w:val="Hyperlink"/>
                <w:rFonts w:ascii="Times New Roman" w:hAnsi="Times New Roman" w:cs="Times New Roman"/>
                <w:noProof/>
              </w:rPr>
              <w:t>5.</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Warunki mieszkaniowe</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_Toc162905464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20</w:t>
            </w:r>
            <w:r w:rsidR="001210F2" w:rsidRPr="00B824AA">
              <w:rPr>
                <w:rFonts w:ascii="Times New Roman" w:hAnsi="Times New Roman" w:cs="Times New Roman"/>
                <w:noProof/>
                <w:webHidden/>
              </w:rPr>
              <w:fldChar w:fldCharType="end"/>
            </w:r>
          </w:hyperlink>
        </w:p>
        <w:p w14:paraId="1EB9E230" w14:textId="56CE345D"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5" w:history="1">
            <w:r w:rsidR="001210F2" w:rsidRPr="00B824AA">
              <w:rPr>
                <w:rStyle w:val="Hyperlink"/>
                <w:rFonts w:ascii="Times New Roman" w:hAnsi="Times New Roman" w:cs="Times New Roman"/>
                <w:noProof/>
              </w:rPr>
              <w:t>6.</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Zdrowie</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_Toc162905465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23</w:t>
            </w:r>
            <w:r w:rsidR="001210F2" w:rsidRPr="00B824AA">
              <w:rPr>
                <w:rFonts w:ascii="Times New Roman" w:hAnsi="Times New Roman" w:cs="Times New Roman"/>
                <w:noProof/>
                <w:webHidden/>
              </w:rPr>
              <w:fldChar w:fldCharType="end"/>
            </w:r>
          </w:hyperlink>
        </w:p>
        <w:p w14:paraId="5C270BA6" w14:textId="1E28F9FE"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6" w:history="1">
            <w:r w:rsidR="001210F2" w:rsidRPr="00B824AA">
              <w:rPr>
                <w:rStyle w:val="Hyperlink"/>
                <w:rFonts w:ascii="Times New Roman" w:hAnsi="Times New Roman" w:cs="Times New Roman"/>
                <w:noProof/>
              </w:rPr>
              <w:t>7.</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Edukacja</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_Toc162905466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26</w:t>
            </w:r>
            <w:r w:rsidR="001210F2" w:rsidRPr="00B824AA">
              <w:rPr>
                <w:rFonts w:ascii="Times New Roman" w:hAnsi="Times New Roman" w:cs="Times New Roman"/>
                <w:noProof/>
                <w:webHidden/>
              </w:rPr>
              <w:fldChar w:fldCharType="end"/>
            </w:r>
          </w:hyperlink>
        </w:p>
        <w:p w14:paraId="60F6D2B1" w14:textId="3BF9FEFF"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7" w:history="1">
            <w:r w:rsidR="001210F2" w:rsidRPr="00B824AA">
              <w:rPr>
                <w:rStyle w:val="Hyperlink"/>
                <w:rFonts w:ascii="Times New Roman" w:hAnsi="Times New Roman" w:cs="Times New Roman"/>
                <w:noProof/>
              </w:rPr>
              <w:t>8.</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Transport i infrastruktura</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_Toc162905467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29</w:t>
            </w:r>
            <w:r w:rsidR="001210F2" w:rsidRPr="00B824AA">
              <w:rPr>
                <w:rFonts w:ascii="Times New Roman" w:hAnsi="Times New Roman" w:cs="Times New Roman"/>
                <w:noProof/>
                <w:webHidden/>
              </w:rPr>
              <w:fldChar w:fldCharType="end"/>
            </w:r>
          </w:hyperlink>
        </w:p>
        <w:p w14:paraId="77FDC603" w14:textId="3CD7211A" w:rsidR="001210F2" w:rsidRPr="00B824AA" w:rsidRDefault="00242DAD">
          <w:pPr>
            <w:pStyle w:val="TOC1"/>
            <w:tabs>
              <w:tab w:val="left" w:pos="480"/>
              <w:tab w:val="right" w:leader="dot" w:pos="9062"/>
            </w:tabs>
            <w:rPr>
              <w:rFonts w:ascii="Times New Roman" w:eastAsiaTheme="minorEastAsia" w:hAnsi="Times New Roman" w:cs="Times New Roman"/>
              <w:noProof/>
              <w:sz w:val="24"/>
              <w:szCs w:val="24"/>
              <w:lang w:eastAsia="pl-PL"/>
            </w:rPr>
          </w:pPr>
          <w:hyperlink w:anchor="_Toc162905468" w:history="1">
            <w:r w:rsidR="001210F2" w:rsidRPr="00B824AA">
              <w:rPr>
                <w:rStyle w:val="Hyperlink"/>
                <w:rFonts w:ascii="Times New Roman" w:hAnsi="Times New Roman" w:cs="Times New Roman"/>
                <w:noProof/>
              </w:rPr>
              <w:t>9.</w:t>
            </w:r>
            <w:r w:rsidR="001210F2" w:rsidRPr="00B824AA">
              <w:rPr>
                <w:rFonts w:ascii="Times New Roman" w:eastAsiaTheme="minorEastAsia" w:hAnsi="Times New Roman" w:cs="Times New Roman"/>
                <w:noProof/>
                <w:sz w:val="24"/>
                <w:szCs w:val="24"/>
                <w:lang w:eastAsia="pl-PL"/>
              </w:rPr>
              <w:tab/>
            </w:r>
            <w:r w:rsidR="001210F2" w:rsidRPr="00B824AA">
              <w:rPr>
                <w:rStyle w:val="Hyperlink"/>
                <w:rFonts w:ascii="Times New Roman" w:hAnsi="Times New Roman" w:cs="Times New Roman"/>
                <w:noProof/>
              </w:rPr>
              <w:t>Ochrona środowiska</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_Toc162905468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33</w:t>
            </w:r>
            <w:r w:rsidR="001210F2" w:rsidRPr="00B824AA">
              <w:rPr>
                <w:rFonts w:ascii="Times New Roman" w:hAnsi="Times New Roman" w:cs="Times New Roman"/>
                <w:noProof/>
                <w:webHidden/>
              </w:rPr>
              <w:fldChar w:fldCharType="end"/>
            </w:r>
          </w:hyperlink>
        </w:p>
        <w:p w14:paraId="5DA248A4" w14:textId="23A7BB57" w:rsidR="001210F2" w:rsidRPr="00B824AA" w:rsidRDefault="00242DAD">
          <w:pPr>
            <w:pStyle w:val="TOC1"/>
            <w:tabs>
              <w:tab w:val="right" w:leader="dot" w:pos="9062"/>
            </w:tabs>
            <w:rPr>
              <w:rFonts w:ascii="Times New Roman" w:eastAsiaTheme="minorEastAsia" w:hAnsi="Times New Roman" w:cs="Times New Roman"/>
              <w:noProof/>
              <w:sz w:val="24"/>
              <w:szCs w:val="24"/>
              <w:lang w:eastAsia="pl-PL"/>
            </w:rPr>
          </w:pPr>
          <w:hyperlink w:anchor="_Toc162905469" w:history="1">
            <w:r w:rsidR="001210F2" w:rsidRPr="00B824AA">
              <w:rPr>
                <w:rStyle w:val="Hyperlink"/>
                <w:rFonts w:ascii="Times New Roman" w:hAnsi="Times New Roman" w:cs="Times New Roman"/>
                <w:noProof/>
              </w:rPr>
              <w:t>Podsumowanie</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_Toc162905469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38</w:t>
            </w:r>
            <w:r w:rsidR="001210F2" w:rsidRPr="00B824AA">
              <w:rPr>
                <w:rFonts w:ascii="Times New Roman" w:hAnsi="Times New Roman" w:cs="Times New Roman"/>
                <w:noProof/>
                <w:webHidden/>
              </w:rPr>
              <w:fldChar w:fldCharType="end"/>
            </w:r>
          </w:hyperlink>
        </w:p>
        <w:p w14:paraId="35C9969E" w14:textId="1F3B27AA" w:rsidR="001210F2" w:rsidRPr="00B824AA" w:rsidRDefault="00242DAD">
          <w:pPr>
            <w:pStyle w:val="TOC1"/>
            <w:tabs>
              <w:tab w:val="right" w:leader="dot" w:pos="9062"/>
            </w:tabs>
            <w:rPr>
              <w:rFonts w:ascii="Times New Roman" w:eastAsiaTheme="minorEastAsia" w:hAnsi="Times New Roman" w:cs="Times New Roman"/>
              <w:noProof/>
              <w:sz w:val="24"/>
              <w:szCs w:val="24"/>
              <w:lang w:eastAsia="pl-PL"/>
            </w:rPr>
          </w:pPr>
          <w:hyperlink w:anchor="_Toc162905470" w:history="1">
            <w:r w:rsidR="001210F2" w:rsidRPr="00B824AA">
              <w:rPr>
                <w:rStyle w:val="Hyperlink"/>
                <w:rFonts w:ascii="Times New Roman" w:hAnsi="Times New Roman" w:cs="Times New Roman"/>
                <w:noProof/>
              </w:rPr>
              <w:t>Bibliografia</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_Toc162905470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39</w:t>
            </w:r>
            <w:r w:rsidR="001210F2" w:rsidRPr="00B824AA">
              <w:rPr>
                <w:rFonts w:ascii="Times New Roman" w:hAnsi="Times New Roman" w:cs="Times New Roman"/>
                <w:noProof/>
                <w:webHidden/>
              </w:rPr>
              <w:fldChar w:fldCharType="end"/>
            </w:r>
          </w:hyperlink>
        </w:p>
        <w:p w14:paraId="11A3F97A" w14:textId="6EB63242" w:rsidR="001210F2" w:rsidRPr="00B824AA" w:rsidRDefault="00242DAD">
          <w:pPr>
            <w:pStyle w:val="TOC1"/>
            <w:tabs>
              <w:tab w:val="right" w:leader="dot" w:pos="9062"/>
            </w:tabs>
            <w:rPr>
              <w:rFonts w:ascii="Times New Roman" w:eastAsiaTheme="minorEastAsia" w:hAnsi="Times New Roman" w:cs="Times New Roman"/>
              <w:noProof/>
              <w:sz w:val="24"/>
              <w:szCs w:val="24"/>
              <w:lang w:eastAsia="pl-PL"/>
            </w:rPr>
          </w:pPr>
          <w:hyperlink w:anchor="_Toc162905471" w:history="1">
            <w:r w:rsidR="001210F2" w:rsidRPr="00B824AA">
              <w:rPr>
                <w:rStyle w:val="Hyperlink"/>
                <w:rFonts w:ascii="Times New Roman" w:hAnsi="Times New Roman" w:cs="Times New Roman"/>
                <w:noProof/>
              </w:rPr>
              <w:t>Aneks</w:t>
            </w:r>
            <w:r w:rsidR="001210F2" w:rsidRPr="00B824AA">
              <w:rPr>
                <w:rFonts w:ascii="Times New Roman" w:hAnsi="Times New Roman" w:cs="Times New Roman"/>
                <w:noProof/>
                <w:webHidden/>
              </w:rPr>
              <w:tab/>
            </w:r>
            <w:r w:rsidR="001210F2" w:rsidRPr="00B824AA">
              <w:rPr>
                <w:rFonts w:ascii="Times New Roman" w:hAnsi="Times New Roman" w:cs="Times New Roman"/>
                <w:noProof/>
                <w:webHidden/>
              </w:rPr>
              <w:fldChar w:fldCharType="begin"/>
            </w:r>
            <w:r w:rsidR="001210F2" w:rsidRPr="00B824AA">
              <w:rPr>
                <w:rFonts w:ascii="Times New Roman" w:hAnsi="Times New Roman" w:cs="Times New Roman"/>
                <w:noProof/>
                <w:webHidden/>
              </w:rPr>
              <w:instrText xml:space="preserve"> PAGEREF _Toc162905471 \h </w:instrText>
            </w:r>
            <w:r w:rsidR="001210F2" w:rsidRPr="00B824AA">
              <w:rPr>
                <w:rFonts w:ascii="Times New Roman" w:hAnsi="Times New Roman" w:cs="Times New Roman"/>
                <w:noProof/>
                <w:webHidden/>
              </w:rPr>
            </w:r>
            <w:r w:rsidR="001210F2" w:rsidRPr="00B824AA">
              <w:rPr>
                <w:rFonts w:ascii="Times New Roman" w:hAnsi="Times New Roman" w:cs="Times New Roman"/>
                <w:noProof/>
                <w:webHidden/>
              </w:rPr>
              <w:fldChar w:fldCharType="separate"/>
            </w:r>
            <w:r w:rsidR="003946AA">
              <w:rPr>
                <w:rFonts w:ascii="Times New Roman" w:hAnsi="Times New Roman" w:cs="Times New Roman"/>
                <w:noProof/>
                <w:webHidden/>
              </w:rPr>
              <w:t>40</w:t>
            </w:r>
            <w:r w:rsidR="001210F2" w:rsidRPr="00B824AA">
              <w:rPr>
                <w:rFonts w:ascii="Times New Roman" w:hAnsi="Times New Roman" w:cs="Times New Roman"/>
                <w:noProof/>
                <w:webHidden/>
              </w:rPr>
              <w:fldChar w:fldCharType="end"/>
            </w:r>
          </w:hyperlink>
        </w:p>
        <w:p w14:paraId="0D894439" w14:textId="5AA67B23" w:rsidR="00DB6F0D" w:rsidRPr="00B824AA" w:rsidRDefault="00DB6F0D">
          <w:pPr>
            <w:rPr>
              <w:rFonts w:ascii="Times New Roman" w:hAnsi="Times New Roman" w:cs="Times New Roman"/>
            </w:rPr>
          </w:pPr>
          <w:r w:rsidRPr="00B824AA">
            <w:rPr>
              <w:rFonts w:ascii="Times New Roman" w:hAnsi="Times New Roman" w:cs="Times New Roman"/>
              <w:b/>
              <w:bCs/>
            </w:rPr>
            <w:fldChar w:fldCharType="end"/>
          </w:r>
        </w:p>
      </w:sdtContent>
    </w:sdt>
    <w:p w14:paraId="0094DB4A" w14:textId="01E34269" w:rsidR="00A05EA4" w:rsidRPr="00B824AA" w:rsidRDefault="00A05EA4">
      <w:pPr>
        <w:rPr>
          <w:rFonts w:ascii="Times New Roman" w:hAnsi="Times New Roman" w:cs="Times New Roman"/>
          <w:sz w:val="24"/>
          <w:szCs w:val="24"/>
        </w:rPr>
      </w:pPr>
      <w:r w:rsidRPr="00B824AA">
        <w:rPr>
          <w:rFonts w:ascii="Times New Roman" w:hAnsi="Times New Roman" w:cs="Times New Roman"/>
          <w:sz w:val="24"/>
          <w:szCs w:val="24"/>
        </w:rPr>
        <w:br w:type="page"/>
      </w:r>
    </w:p>
    <w:p w14:paraId="69F3A315" w14:textId="1207F504" w:rsidR="00A05EA4" w:rsidRPr="00B824AA" w:rsidRDefault="00A05EA4" w:rsidP="00A05EA4">
      <w:pPr>
        <w:pStyle w:val="Heading1"/>
        <w:rPr>
          <w:rFonts w:ascii="Times New Roman" w:hAnsi="Times New Roman" w:cs="Times New Roman"/>
          <w:sz w:val="36"/>
          <w:szCs w:val="36"/>
        </w:rPr>
      </w:pPr>
      <w:bookmarkStart w:id="0" w:name="_Toc162905456"/>
      <w:r w:rsidRPr="00B824AA">
        <w:rPr>
          <w:rFonts w:ascii="Times New Roman" w:hAnsi="Times New Roman" w:cs="Times New Roman"/>
          <w:sz w:val="36"/>
          <w:szCs w:val="36"/>
        </w:rPr>
        <w:lastRenderedPageBreak/>
        <w:t>Wprowadzenie</w:t>
      </w:r>
      <w:bookmarkEnd w:id="0"/>
    </w:p>
    <w:p w14:paraId="2FB8048E" w14:textId="1624A918" w:rsidR="00A05EA4" w:rsidRPr="00B824AA" w:rsidRDefault="00EE7438" w:rsidP="006B777F">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Idea wskaźnika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powstała w 2019 r., kiedy w raporcie </w:t>
      </w:r>
      <w:r w:rsidR="00126757" w:rsidRPr="00B824AA">
        <w:rPr>
          <w:rFonts w:ascii="Times New Roman" w:hAnsi="Times New Roman" w:cs="Times New Roman"/>
          <w:sz w:val="24"/>
          <w:szCs w:val="24"/>
        </w:rPr>
        <w:t xml:space="preserve">ekonomicznym </w:t>
      </w:r>
      <w:r w:rsidR="00503844" w:rsidRPr="00B824AA">
        <w:rPr>
          <w:rFonts w:ascii="Times New Roman" w:hAnsi="Times New Roman" w:cs="Times New Roman"/>
          <w:sz w:val="24"/>
          <w:szCs w:val="24"/>
        </w:rPr>
        <w:t xml:space="preserve">przygotowanym </w:t>
      </w:r>
      <w:r w:rsidR="00503844" w:rsidRPr="00736A5E">
        <w:rPr>
          <w:rFonts w:ascii="Times New Roman" w:hAnsi="Times New Roman" w:cs="Times New Roman"/>
          <w:sz w:val="24"/>
          <w:szCs w:val="24"/>
        </w:rPr>
        <w:t xml:space="preserve">przez zespół Szkoły Głównej Handlowej w Warszawie (Strojny, 2019) </w:t>
      </w:r>
      <w:r w:rsidR="005901EA" w:rsidRPr="00736A5E">
        <w:rPr>
          <w:rFonts w:ascii="Times New Roman" w:hAnsi="Times New Roman" w:cs="Times New Roman"/>
          <w:sz w:val="24"/>
          <w:szCs w:val="24"/>
        </w:rPr>
        <w:t>ukazały się analizy</w:t>
      </w:r>
      <w:r w:rsidR="005901EA" w:rsidRPr="00B824AA">
        <w:rPr>
          <w:rFonts w:ascii="Times New Roman" w:hAnsi="Times New Roman" w:cs="Times New Roman"/>
          <w:sz w:val="24"/>
          <w:szCs w:val="24"/>
        </w:rPr>
        <w:t xml:space="preserve"> dotyczące </w:t>
      </w:r>
      <w:r w:rsidR="00F438A5">
        <w:rPr>
          <w:rFonts w:ascii="Times New Roman" w:hAnsi="Times New Roman" w:cs="Times New Roman"/>
          <w:sz w:val="24"/>
          <w:szCs w:val="24"/>
        </w:rPr>
        <w:t>perspektyw</w:t>
      </w:r>
      <w:r w:rsidR="00F438A5" w:rsidRPr="00B824AA">
        <w:rPr>
          <w:rFonts w:ascii="Times New Roman" w:hAnsi="Times New Roman" w:cs="Times New Roman"/>
          <w:sz w:val="24"/>
          <w:szCs w:val="24"/>
        </w:rPr>
        <w:t xml:space="preserve"> </w:t>
      </w:r>
      <w:r w:rsidR="00CA37F6" w:rsidRPr="00B824AA">
        <w:rPr>
          <w:rFonts w:ascii="Times New Roman" w:hAnsi="Times New Roman" w:cs="Times New Roman"/>
          <w:sz w:val="24"/>
          <w:szCs w:val="24"/>
        </w:rPr>
        <w:t>zrównania poziomu gospodarczego Polski i rozwiniętych krajów europejskich.</w:t>
      </w:r>
    </w:p>
    <w:p w14:paraId="5D2DD2EB" w14:textId="4FCA087A" w:rsidR="00CA37F6" w:rsidRPr="00B824AA" w:rsidRDefault="00692F87" w:rsidP="006B777F">
      <w:pPr>
        <w:spacing w:line="360" w:lineRule="auto"/>
        <w:jc w:val="both"/>
        <w:rPr>
          <w:rFonts w:ascii="Times New Roman" w:hAnsi="Times New Roman" w:cs="Times New Roman"/>
          <w:sz w:val="24"/>
          <w:szCs w:val="24"/>
        </w:rPr>
      </w:pPr>
      <w:r w:rsidRPr="23A1E861">
        <w:rPr>
          <w:rFonts w:ascii="Times New Roman" w:hAnsi="Times New Roman" w:cs="Times New Roman"/>
          <w:sz w:val="24"/>
          <w:szCs w:val="24"/>
        </w:rPr>
        <w:t xml:space="preserve">Dyskusja, która </w:t>
      </w:r>
      <w:r w:rsidR="002C1A2A">
        <w:rPr>
          <w:rFonts w:ascii="Times New Roman" w:hAnsi="Times New Roman" w:cs="Times New Roman"/>
          <w:sz w:val="24"/>
          <w:szCs w:val="24"/>
        </w:rPr>
        <w:t>miała miejsce</w:t>
      </w:r>
      <w:r w:rsidR="002C1A2A" w:rsidRPr="23A1E861">
        <w:rPr>
          <w:rFonts w:ascii="Times New Roman" w:hAnsi="Times New Roman" w:cs="Times New Roman"/>
          <w:sz w:val="24"/>
          <w:szCs w:val="24"/>
        </w:rPr>
        <w:t xml:space="preserve"> </w:t>
      </w:r>
      <w:r w:rsidRPr="23A1E861">
        <w:rPr>
          <w:rFonts w:ascii="Times New Roman" w:hAnsi="Times New Roman" w:cs="Times New Roman"/>
          <w:sz w:val="24"/>
          <w:szCs w:val="24"/>
        </w:rPr>
        <w:t xml:space="preserve">po publikacji raportu skłoniła badaczy SGH – współautorów niniejszego opracowania, wraz z zespołem </w:t>
      </w:r>
      <w:r w:rsidR="00410327" w:rsidRPr="23A1E861">
        <w:rPr>
          <w:rFonts w:ascii="Times New Roman" w:hAnsi="Times New Roman" w:cs="Times New Roman"/>
          <w:sz w:val="24"/>
          <w:szCs w:val="24"/>
        </w:rPr>
        <w:t>Centrum Przedsiębiorczości i Rozwoju Technologii SGH - do opracowania wskaźnika, którego celem jest pokazanie</w:t>
      </w:r>
      <w:r w:rsidR="005B3AAE" w:rsidRPr="23A1E861">
        <w:rPr>
          <w:rFonts w:ascii="Times New Roman" w:hAnsi="Times New Roman" w:cs="Times New Roman"/>
          <w:sz w:val="24"/>
          <w:szCs w:val="24"/>
        </w:rPr>
        <w:t xml:space="preserve">, czy Polska </w:t>
      </w:r>
      <w:r w:rsidR="00E012A5" w:rsidRPr="23A1E861">
        <w:rPr>
          <w:rFonts w:ascii="Times New Roman" w:hAnsi="Times New Roman" w:cs="Times New Roman"/>
          <w:sz w:val="24"/>
          <w:szCs w:val="24"/>
        </w:rPr>
        <w:t xml:space="preserve">dogania kraje Unii Europejskiej pod względem poziomu życia społecznego. </w:t>
      </w:r>
      <w:r w:rsidR="007656A2" w:rsidRPr="23A1E861">
        <w:rPr>
          <w:rFonts w:ascii="Times New Roman" w:hAnsi="Times New Roman" w:cs="Times New Roman"/>
          <w:sz w:val="24"/>
          <w:szCs w:val="24"/>
        </w:rPr>
        <w:t xml:space="preserve">Zaproponowany wskaźnik </w:t>
      </w:r>
      <w:proofErr w:type="spellStart"/>
      <w:r w:rsidR="007656A2" w:rsidRPr="23A1E861">
        <w:rPr>
          <w:rFonts w:ascii="Times New Roman" w:hAnsi="Times New Roman" w:cs="Times New Roman"/>
          <w:i/>
          <w:iCs/>
          <w:sz w:val="24"/>
          <w:szCs w:val="24"/>
        </w:rPr>
        <w:t>catch-up</w:t>
      </w:r>
      <w:proofErr w:type="spellEnd"/>
      <w:r w:rsidR="007656A2" w:rsidRPr="23A1E861">
        <w:rPr>
          <w:rFonts w:ascii="Times New Roman" w:hAnsi="Times New Roman" w:cs="Times New Roman"/>
          <w:sz w:val="24"/>
          <w:szCs w:val="24"/>
        </w:rPr>
        <w:t xml:space="preserve"> skupia się na szeroko rozumianych warunkach i </w:t>
      </w:r>
      <w:r w:rsidR="007A2F09" w:rsidRPr="23A1E861">
        <w:rPr>
          <w:rFonts w:ascii="Times New Roman" w:hAnsi="Times New Roman" w:cs="Times New Roman"/>
          <w:sz w:val="24"/>
          <w:szCs w:val="24"/>
        </w:rPr>
        <w:t xml:space="preserve">ocenie jakości życia w Polsce, w porównaniu do krajów Unii Europejskiej, </w:t>
      </w:r>
      <w:r w:rsidR="00B50BC1" w:rsidRPr="23A1E861">
        <w:rPr>
          <w:rFonts w:ascii="Times New Roman" w:hAnsi="Times New Roman" w:cs="Times New Roman"/>
          <w:sz w:val="24"/>
          <w:szCs w:val="24"/>
        </w:rPr>
        <w:t>z</w:t>
      </w:r>
      <w:r w:rsidR="00146222" w:rsidRPr="23A1E861">
        <w:rPr>
          <w:rFonts w:ascii="Times New Roman" w:hAnsi="Times New Roman" w:cs="Times New Roman"/>
          <w:sz w:val="24"/>
          <w:szCs w:val="24"/>
        </w:rPr>
        <w:t> </w:t>
      </w:r>
      <w:r w:rsidR="00B50BC1" w:rsidRPr="23A1E861">
        <w:rPr>
          <w:rFonts w:ascii="Times New Roman" w:hAnsi="Times New Roman" w:cs="Times New Roman"/>
          <w:sz w:val="24"/>
          <w:szCs w:val="24"/>
        </w:rPr>
        <w:t xml:space="preserve">uwzględnieniem wszystkich 27 krajów, </w:t>
      </w:r>
      <w:r w:rsidR="007A2F09" w:rsidRPr="23A1E861">
        <w:rPr>
          <w:rFonts w:ascii="Times New Roman" w:hAnsi="Times New Roman" w:cs="Times New Roman"/>
          <w:sz w:val="24"/>
          <w:szCs w:val="24"/>
        </w:rPr>
        <w:t xml:space="preserve">tych </w:t>
      </w:r>
      <w:r w:rsidR="00B50BC1" w:rsidRPr="23A1E861">
        <w:rPr>
          <w:rFonts w:ascii="Times New Roman" w:hAnsi="Times New Roman" w:cs="Times New Roman"/>
          <w:sz w:val="24"/>
          <w:szCs w:val="24"/>
        </w:rPr>
        <w:t>krajów</w:t>
      </w:r>
      <w:r w:rsidR="195D6AB2" w:rsidRPr="23A1E861">
        <w:rPr>
          <w:rFonts w:ascii="Times New Roman" w:hAnsi="Times New Roman" w:cs="Times New Roman"/>
          <w:sz w:val="24"/>
          <w:szCs w:val="24"/>
        </w:rPr>
        <w:t xml:space="preserve">, </w:t>
      </w:r>
      <w:r w:rsidR="007A2F09" w:rsidRPr="23A1E861">
        <w:rPr>
          <w:rFonts w:ascii="Times New Roman" w:hAnsi="Times New Roman" w:cs="Times New Roman"/>
          <w:sz w:val="24"/>
          <w:szCs w:val="24"/>
        </w:rPr>
        <w:t>które tworzyły UE przed 2004 r. (</w:t>
      </w:r>
      <w:r w:rsidR="003E00AF" w:rsidRPr="23A1E861">
        <w:rPr>
          <w:rFonts w:ascii="Times New Roman" w:hAnsi="Times New Roman" w:cs="Times New Roman"/>
          <w:sz w:val="24"/>
          <w:szCs w:val="24"/>
        </w:rPr>
        <w:t>obecnie 14</w:t>
      </w:r>
      <w:r w:rsidR="00146222" w:rsidRPr="23A1E861">
        <w:rPr>
          <w:rFonts w:ascii="Times New Roman" w:hAnsi="Times New Roman" w:cs="Times New Roman"/>
          <w:sz w:val="24"/>
          <w:szCs w:val="24"/>
        </w:rPr>
        <w:t> </w:t>
      </w:r>
      <w:r w:rsidR="003E00AF" w:rsidRPr="23A1E861">
        <w:rPr>
          <w:rFonts w:ascii="Times New Roman" w:hAnsi="Times New Roman" w:cs="Times New Roman"/>
          <w:sz w:val="24"/>
          <w:szCs w:val="24"/>
        </w:rPr>
        <w:t>krajów – bez Zjednoczonego Królestwa)</w:t>
      </w:r>
      <w:r w:rsidR="00B50BC1" w:rsidRPr="23A1E861">
        <w:rPr>
          <w:rFonts w:ascii="Times New Roman" w:hAnsi="Times New Roman" w:cs="Times New Roman"/>
          <w:sz w:val="24"/>
          <w:szCs w:val="24"/>
        </w:rPr>
        <w:t xml:space="preserve">, a także 13 krajów które wstąpiły do UE wraz z Polską lub później. </w:t>
      </w:r>
    </w:p>
    <w:p w14:paraId="5196D0D7" w14:textId="50729393" w:rsidR="00583E78" w:rsidRPr="00B824AA" w:rsidRDefault="00F952A0" w:rsidP="006B777F">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Niniejszy raport prezentuje wyniki </w:t>
      </w:r>
      <w:r w:rsidR="000F104C">
        <w:rPr>
          <w:rFonts w:ascii="Times New Roman" w:hAnsi="Times New Roman" w:cs="Times New Roman"/>
          <w:sz w:val="24"/>
          <w:szCs w:val="24"/>
        </w:rPr>
        <w:t>trzeciej</w:t>
      </w:r>
      <w:r w:rsidRPr="00B824AA">
        <w:rPr>
          <w:rFonts w:ascii="Times New Roman" w:hAnsi="Times New Roman" w:cs="Times New Roman"/>
          <w:sz w:val="24"/>
          <w:szCs w:val="24"/>
        </w:rPr>
        <w:t xml:space="preserve"> edycji wskaźnika, która dotyczy </w:t>
      </w:r>
      <w:r w:rsidR="00D55026" w:rsidRPr="00B824AA">
        <w:rPr>
          <w:rFonts w:ascii="Times New Roman" w:hAnsi="Times New Roman" w:cs="Times New Roman"/>
          <w:sz w:val="24"/>
          <w:szCs w:val="24"/>
        </w:rPr>
        <w:t>porównania warunków życia w</w:t>
      </w:r>
      <w:r w:rsidRPr="00B824AA">
        <w:rPr>
          <w:rFonts w:ascii="Times New Roman" w:hAnsi="Times New Roman" w:cs="Times New Roman"/>
          <w:sz w:val="24"/>
          <w:szCs w:val="24"/>
        </w:rPr>
        <w:t xml:space="preserve"> 202</w:t>
      </w:r>
      <w:r w:rsidR="0092113E">
        <w:rPr>
          <w:rFonts w:ascii="Times New Roman" w:hAnsi="Times New Roman" w:cs="Times New Roman"/>
          <w:sz w:val="24"/>
          <w:szCs w:val="24"/>
        </w:rPr>
        <w:t>2</w:t>
      </w:r>
      <w:r w:rsidRPr="00B824AA">
        <w:rPr>
          <w:rFonts w:ascii="Times New Roman" w:hAnsi="Times New Roman" w:cs="Times New Roman"/>
          <w:sz w:val="24"/>
          <w:szCs w:val="24"/>
        </w:rPr>
        <w:t xml:space="preserve"> r. W</w:t>
      </w:r>
      <w:r w:rsidR="00583E78" w:rsidRPr="00B824AA">
        <w:rPr>
          <w:rFonts w:ascii="Times New Roman" w:hAnsi="Times New Roman" w:cs="Times New Roman"/>
          <w:sz w:val="24"/>
          <w:szCs w:val="24"/>
        </w:rPr>
        <w:t> </w:t>
      </w:r>
      <w:r w:rsidRPr="00B824AA">
        <w:rPr>
          <w:rFonts w:ascii="Times New Roman" w:hAnsi="Times New Roman" w:cs="Times New Roman"/>
          <w:sz w:val="24"/>
          <w:szCs w:val="24"/>
        </w:rPr>
        <w:t xml:space="preserve">pierwszej edycji zaprezentowano wyniki wskaźnika w latach 2010, 2015 i 2020, </w:t>
      </w:r>
      <w:r w:rsidR="0092113E">
        <w:rPr>
          <w:rFonts w:ascii="Times New Roman" w:hAnsi="Times New Roman" w:cs="Times New Roman"/>
          <w:sz w:val="24"/>
          <w:szCs w:val="24"/>
        </w:rPr>
        <w:t xml:space="preserve">w drugiej – w 2021 r., </w:t>
      </w:r>
      <w:r w:rsidRPr="00B824AA">
        <w:rPr>
          <w:rFonts w:ascii="Times New Roman" w:hAnsi="Times New Roman" w:cs="Times New Roman"/>
          <w:sz w:val="24"/>
          <w:szCs w:val="24"/>
        </w:rPr>
        <w:t>co pozwala</w:t>
      </w:r>
      <w:r w:rsidR="00583E78" w:rsidRPr="00B824AA">
        <w:rPr>
          <w:rFonts w:ascii="Times New Roman" w:hAnsi="Times New Roman" w:cs="Times New Roman"/>
          <w:sz w:val="24"/>
          <w:szCs w:val="24"/>
        </w:rPr>
        <w:t>ło</w:t>
      </w:r>
      <w:r w:rsidRPr="00B824AA">
        <w:rPr>
          <w:rFonts w:ascii="Times New Roman" w:hAnsi="Times New Roman" w:cs="Times New Roman"/>
          <w:sz w:val="24"/>
          <w:szCs w:val="24"/>
        </w:rPr>
        <w:t xml:space="preserve"> na cenę zmian zachodzących w </w:t>
      </w:r>
      <w:r w:rsidR="00583E78" w:rsidRPr="00B824AA">
        <w:rPr>
          <w:rFonts w:ascii="Times New Roman" w:hAnsi="Times New Roman" w:cs="Times New Roman"/>
          <w:sz w:val="24"/>
          <w:szCs w:val="24"/>
        </w:rPr>
        <w:t xml:space="preserve">dłuższym czasie. </w:t>
      </w:r>
      <w:r w:rsidR="0092113E">
        <w:rPr>
          <w:rFonts w:ascii="Times New Roman" w:hAnsi="Times New Roman" w:cs="Times New Roman"/>
          <w:sz w:val="24"/>
          <w:szCs w:val="24"/>
        </w:rPr>
        <w:t>Obecna, trzecia</w:t>
      </w:r>
      <w:r w:rsidR="00583E78" w:rsidRPr="00B824AA">
        <w:rPr>
          <w:rFonts w:ascii="Times New Roman" w:hAnsi="Times New Roman" w:cs="Times New Roman"/>
          <w:sz w:val="24"/>
          <w:szCs w:val="24"/>
        </w:rPr>
        <w:t xml:space="preserve"> edycja (i kolejne edycje w przyszłości) pozwala na</w:t>
      </w:r>
      <w:r w:rsidR="00D55026" w:rsidRPr="00B824AA">
        <w:rPr>
          <w:rFonts w:ascii="Times New Roman" w:hAnsi="Times New Roman" w:cs="Times New Roman"/>
          <w:sz w:val="24"/>
          <w:szCs w:val="24"/>
        </w:rPr>
        <w:t xml:space="preserve"> coroczne</w:t>
      </w:r>
      <w:r w:rsidR="00583E78" w:rsidRPr="00B824AA">
        <w:rPr>
          <w:rFonts w:ascii="Times New Roman" w:hAnsi="Times New Roman" w:cs="Times New Roman"/>
          <w:sz w:val="24"/>
          <w:szCs w:val="24"/>
        </w:rPr>
        <w:t xml:space="preserve"> kontynuowanie monitorowania </w:t>
      </w:r>
      <w:r w:rsidR="00C54301" w:rsidRPr="00B824AA">
        <w:rPr>
          <w:rFonts w:ascii="Times New Roman" w:hAnsi="Times New Roman" w:cs="Times New Roman"/>
          <w:sz w:val="24"/>
          <w:szCs w:val="24"/>
        </w:rPr>
        <w:t xml:space="preserve">zmian w wybranych, uwzględnionych we wskaźniku, obszarach warunków </w:t>
      </w:r>
      <w:r w:rsidR="006B777F" w:rsidRPr="00B824AA">
        <w:rPr>
          <w:rFonts w:ascii="Times New Roman" w:hAnsi="Times New Roman" w:cs="Times New Roman"/>
          <w:sz w:val="24"/>
          <w:szCs w:val="24"/>
        </w:rPr>
        <w:t>życia.</w:t>
      </w:r>
      <w:r w:rsidR="00583E78" w:rsidRPr="00B824AA">
        <w:rPr>
          <w:rFonts w:ascii="Times New Roman" w:hAnsi="Times New Roman" w:cs="Times New Roman"/>
          <w:sz w:val="24"/>
          <w:szCs w:val="24"/>
        </w:rPr>
        <w:t xml:space="preserve"> </w:t>
      </w:r>
    </w:p>
    <w:p w14:paraId="60ECE089" w14:textId="67607F2D" w:rsidR="00F952A0" w:rsidRPr="00B824AA" w:rsidRDefault="004A7D0A" w:rsidP="006B777F">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Wskaźnik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obejmuje 7 </w:t>
      </w:r>
      <w:r w:rsidR="00D55026" w:rsidRPr="00B824AA">
        <w:rPr>
          <w:rFonts w:ascii="Times New Roman" w:hAnsi="Times New Roman" w:cs="Times New Roman"/>
          <w:sz w:val="24"/>
          <w:szCs w:val="24"/>
        </w:rPr>
        <w:t>wymiarów</w:t>
      </w:r>
      <w:r w:rsidR="008E57D6" w:rsidRPr="00B824AA">
        <w:rPr>
          <w:rFonts w:ascii="Times New Roman" w:hAnsi="Times New Roman" w:cs="Times New Roman"/>
          <w:sz w:val="24"/>
          <w:szCs w:val="24"/>
        </w:rPr>
        <w:t xml:space="preserve">. Są to: </w:t>
      </w:r>
      <w:r w:rsidRPr="00B824AA">
        <w:rPr>
          <w:rFonts w:ascii="Times New Roman" w:hAnsi="Times New Roman" w:cs="Times New Roman"/>
          <w:sz w:val="24"/>
          <w:szCs w:val="24"/>
        </w:rPr>
        <w:t xml:space="preserve">dochody i deprywacja materialna, rynek pracy, </w:t>
      </w:r>
      <w:r w:rsidR="008E57D6" w:rsidRPr="00B824AA">
        <w:rPr>
          <w:rFonts w:ascii="Times New Roman" w:hAnsi="Times New Roman" w:cs="Times New Roman"/>
          <w:sz w:val="24"/>
          <w:szCs w:val="24"/>
        </w:rPr>
        <w:t xml:space="preserve">warunki mieszkaniowe, zdrowie, edukacja, transport i infrastruktura oraz ochrona środowiska. </w:t>
      </w:r>
      <w:r w:rsidR="0067105A" w:rsidRPr="00B824AA">
        <w:rPr>
          <w:rFonts w:ascii="Times New Roman" w:hAnsi="Times New Roman" w:cs="Times New Roman"/>
          <w:sz w:val="24"/>
          <w:szCs w:val="24"/>
        </w:rPr>
        <w:t>W ramach każdego z siedmiu</w:t>
      </w:r>
      <w:r w:rsidR="00F952A0" w:rsidRPr="00B824AA">
        <w:rPr>
          <w:rFonts w:ascii="Times New Roman" w:hAnsi="Times New Roman" w:cs="Times New Roman"/>
          <w:sz w:val="24"/>
          <w:szCs w:val="24"/>
        </w:rPr>
        <w:t xml:space="preserve"> </w:t>
      </w:r>
      <w:r w:rsidR="00D55026" w:rsidRPr="00B824AA">
        <w:rPr>
          <w:rFonts w:ascii="Times New Roman" w:hAnsi="Times New Roman" w:cs="Times New Roman"/>
          <w:sz w:val="24"/>
          <w:szCs w:val="24"/>
        </w:rPr>
        <w:t>wymiarów</w:t>
      </w:r>
      <w:r w:rsidR="0067105A" w:rsidRPr="00B824AA">
        <w:rPr>
          <w:rFonts w:ascii="Times New Roman" w:hAnsi="Times New Roman" w:cs="Times New Roman"/>
          <w:sz w:val="24"/>
          <w:szCs w:val="24"/>
        </w:rPr>
        <w:t xml:space="preserve"> </w:t>
      </w:r>
      <w:r w:rsidR="00D55026" w:rsidRPr="00B824AA">
        <w:rPr>
          <w:rFonts w:ascii="Times New Roman" w:hAnsi="Times New Roman" w:cs="Times New Roman"/>
          <w:sz w:val="24"/>
          <w:szCs w:val="24"/>
        </w:rPr>
        <w:t>zespół</w:t>
      </w:r>
      <w:r w:rsidR="0067105A" w:rsidRPr="00B824AA">
        <w:rPr>
          <w:rFonts w:ascii="Times New Roman" w:hAnsi="Times New Roman" w:cs="Times New Roman"/>
          <w:sz w:val="24"/>
          <w:szCs w:val="24"/>
        </w:rPr>
        <w:t xml:space="preserve"> </w:t>
      </w:r>
      <w:r w:rsidR="00D55026" w:rsidRPr="00B824AA">
        <w:rPr>
          <w:rFonts w:ascii="Times New Roman" w:hAnsi="Times New Roman" w:cs="Times New Roman"/>
          <w:sz w:val="24"/>
          <w:szCs w:val="24"/>
        </w:rPr>
        <w:t xml:space="preserve">autorów wybrał </w:t>
      </w:r>
      <w:r w:rsidR="0067105A" w:rsidRPr="00B824AA">
        <w:rPr>
          <w:rFonts w:ascii="Times New Roman" w:hAnsi="Times New Roman" w:cs="Times New Roman"/>
          <w:sz w:val="24"/>
          <w:szCs w:val="24"/>
        </w:rPr>
        <w:t>wskaźniki</w:t>
      </w:r>
      <w:r w:rsidR="00F952A0" w:rsidRPr="00B824AA">
        <w:rPr>
          <w:rFonts w:ascii="Times New Roman" w:hAnsi="Times New Roman" w:cs="Times New Roman"/>
          <w:sz w:val="24"/>
          <w:szCs w:val="24"/>
        </w:rPr>
        <w:t xml:space="preserve"> </w:t>
      </w:r>
      <w:r w:rsidR="0067105A" w:rsidRPr="00B824AA">
        <w:rPr>
          <w:rFonts w:ascii="Times New Roman" w:hAnsi="Times New Roman" w:cs="Times New Roman"/>
          <w:sz w:val="24"/>
          <w:szCs w:val="24"/>
        </w:rPr>
        <w:t>cząstkowe, pochodzące głównie</w:t>
      </w:r>
      <w:r w:rsidR="00F952A0" w:rsidRPr="00B824AA">
        <w:rPr>
          <w:rFonts w:ascii="Times New Roman" w:hAnsi="Times New Roman" w:cs="Times New Roman"/>
          <w:sz w:val="24"/>
          <w:szCs w:val="24"/>
        </w:rPr>
        <w:t xml:space="preserve"> </w:t>
      </w:r>
      <w:r w:rsidR="0067105A" w:rsidRPr="00B824AA">
        <w:rPr>
          <w:rFonts w:ascii="Times New Roman" w:hAnsi="Times New Roman" w:cs="Times New Roman"/>
          <w:sz w:val="24"/>
          <w:szCs w:val="24"/>
        </w:rPr>
        <w:t>z bazy danych Eurostat.</w:t>
      </w:r>
      <w:r w:rsidR="00583E78" w:rsidRPr="00B824AA">
        <w:rPr>
          <w:rFonts w:ascii="Times New Roman" w:hAnsi="Times New Roman" w:cs="Times New Roman"/>
          <w:sz w:val="24"/>
          <w:szCs w:val="24"/>
        </w:rPr>
        <w:t xml:space="preserve"> </w:t>
      </w:r>
      <w:r w:rsidR="00F952A0" w:rsidRPr="00B824AA">
        <w:rPr>
          <w:rFonts w:ascii="Times New Roman" w:hAnsi="Times New Roman" w:cs="Times New Roman"/>
          <w:sz w:val="24"/>
          <w:szCs w:val="24"/>
        </w:rPr>
        <w:t>Przyjęto zasadę, że wskaźniki te powinny być dostępne dla wszystkich lat objętych porównaniem (2010, 2015, 2020</w:t>
      </w:r>
      <w:r w:rsidR="0092113E">
        <w:rPr>
          <w:rFonts w:ascii="Times New Roman" w:hAnsi="Times New Roman" w:cs="Times New Roman"/>
          <w:sz w:val="24"/>
          <w:szCs w:val="24"/>
        </w:rPr>
        <w:t>-</w:t>
      </w:r>
      <w:r w:rsidR="00F952A0" w:rsidRPr="00B824AA">
        <w:rPr>
          <w:rFonts w:ascii="Times New Roman" w:hAnsi="Times New Roman" w:cs="Times New Roman"/>
          <w:sz w:val="24"/>
          <w:szCs w:val="24"/>
        </w:rPr>
        <w:t>202</w:t>
      </w:r>
      <w:r w:rsidR="0092113E">
        <w:rPr>
          <w:rFonts w:ascii="Times New Roman" w:hAnsi="Times New Roman" w:cs="Times New Roman"/>
          <w:sz w:val="24"/>
          <w:szCs w:val="24"/>
        </w:rPr>
        <w:t>2</w:t>
      </w:r>
      <w:r w:rsidR="00F952A0" w:rsidRPr="00B824AA">
        <w:rPr>
          <w:rFonts w:ascii="Times New Roman" w:hAnsi="Times New Roman" w:cs="Times New Roman"/>
          <w:sz w:val="24"/>
          <w:szCs w:val="24"/>
        </w:rPr>
        <w:t xml:space="preserve"> r.) oraz dla wszystkich</w:t>
      </w:r>
      <w:r w:rsidR="00B406F8" w:rsidRPr="00B824AA">
        <w:rPr>
          <w:rFonts w:ascii="Times New Roman" w:hAnsi="Times New Roman" w:cs="Times New Roman"/>
          <w:sz w:val="24"/>
          <w:szCs w:val="24"/>
        </w:rPr>
        <w:t xml:space="preserve"> </w:t>
      </w:r>
      <w:r w:rsidR="00F952A0" w:rsidRPr="00B824AA">
        <w:rPr>
          <w:rFonts w:ascii="Times New Roman" w:hAnsi="Times New Roman" w:cs="Times New Roman"/>
          <w:sz w:val="24"/>
          <w:szCs w:val="24"/>
        </w:rPr>
        <w:t>2</w:t>
      </w:r>
      <w:r w:rsidR="00B406F8" w:rsidRPr="00B824AA">
        <w:rPr>
          <w:rFonts w:ascii="Times New Roman" w:hAnsi="Times New Roman" w:cs="Times New Roman"/>
          <w:sz w:val="24"/>
          <w:szCs w:val="24"/>
        </w:rPr>
        <w:t>7</w:t>
      </w:r>
      <w:r w:rsidR="00F952A0" w:rsidRPr="00B824AA">
        <w:rPr>
          <w:rFonts w:ascii="Times New Roman" w:hAnsi="Times New Roman" w:cs="Times New Roman"/>
          <w:sz w:val="24"/>
          <w:szCs w:val="24"/>
        </w:rPr>
        <w:t xml:space="preserve"> krajów uwzględnionych w</w:t>
      </w:r>
      <w:r w:rsidR="00146222" w:rsidRPr="00B824AA">
        <w:rPr>
          <w:rFonts w:ascii="Times New Roman" w:hAnsi="Times New Roman" w:cs="Times New Roman"/>
          <w:sz w:val="24"/>
          <w:szCs w:val="24"/>
        </w:rPr>
        <w:t> </w:t>
      </w:r>
      <w:r w:rsidR="00F952A0" w:rsidRPr="00B824AA">
        <w:rPr>
          <w:rFonts w:ascii="Times New Roman" w:hAnsi="Times New Roman" w:cs="Times New Roman"/>
          <w:sz w:val="24"/>
          <w:szCs w:val="24"/>
        </w:rPr>
        <w:t>porównaniu.</w:t>
      </w:r>
      <w:r w:rsidR="00B406F8" w:rsidRPr="00B824AA">
        <w:rPr>
          <w:rFonts w:ascii="Times New Roman" w:hAnsi="Times New Roman" w:cs="Times New Roman"/>
          <w:sz w:val="24"/>
          <w:szCs w:val="24"/>
        </w:rPr>
        <w:t xml:space="preserve"> </w:t>
      </w:r>
      <w:r w:rsidR="00F952A0" w:rsidRPr="00B824AA">
        <w:rPr>
          <w:rFonts w:ascii="Times New Roman" w:hAnsi="Times New Roman" w:cs="Times New Roman"/>
          <w:sz w:val="24"/>
          <w:szCs w:val="24"/>
        </w:rPr>
        <w:t xml:space="preserve">Łącznie do oszacowania </w:t>
      </w:r>
      <w:r w:rsidR="00B406F8" w:rsidRPr="00B824AA">
        <w:rPr>
          <w:rFonts w:ascii="Times New Roman" w:hAnsi="Times New Roman" w:cs="Times New Roman"/>
          <w:sz w:val="24"/>
          <w:szCs w:val="24"/>
        </w:rPr>
        <w:t xml:space="preserve">wskaźnika </w:t>
      </w:r>
      <w:r w:rsidR="00F952A0" w:rsidRPr="00B824AA">
        <w:rPr>
          <w:rFonts w:ascii="Times New Roman" w:hAnsi="Times New Roman" w:cs="Times New Roman"/>
          <w:sz w:val="24"/>
          <w:szCs w:val="24"/>
        </w:rPr>
        <w:t>wykorzystano 38 wskaźników cząstkowych</w:t>
      </w:r>
      <w:r w:rsidR="00B406F8" w:rsidRPr="00B824AA">
        <w:rPr>
          <w:rFonts w:ascii="Times New Roman" w:hAnsi="Times New Roman" w:cs="Times New Roman"/>
          <w:sz w:val="24"/>
          <w:szCs w:val="24"/>
        </w:rPr>
        <w:t xml:space="preserve">. </w:t>
      </w:r>
    </w:p>
    <w:p w14:paraId="6F6BF30D" w14:textId="6042FA28" w:rsidR="006B777F" w:rsidRPr="00B824AA" w:rsidRDefault="009151F0" w:rsidP="006B777F">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Do obliczenia wartości złożonego wskaźnika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każdemu z 7 </w:t>
      </w:r>
      <w:r w:rsidR="00D55026" w:rsidRPr="00B824AA">
        <w:rPr>
          <w:rFonts w:ascii="Times New Roman" w:hAnsi="Times New Roman" w:cs="Times New Roman"/>
          <w:sz w:val="24"/>
          <w:szCs w:val="24"/>
        </w:rPr>
        <w:t>wymiarów</w:t>
      </w:r>
      <w:r w:rsidRPr="00B824AA">
        <w:rPr>
          <w:rFonts w:ascii="Times New Roman" w:hAnsi="Times New Roman" w:cs="Times New Roman"/>
          <w:sz w:val="24"/>
          <w:szCs w:val="24"/>
        </w:rPr>
        <w:t xml:space="preserve"> za pomocą metody analizy hierarchicznej</w:t>
      </w:r>
      <w:r w:rsidRPr="00B824AA">
        <w:rPr>
          <w:rFonts w:ascii="Times New Roman" w:hAnsi="Times New Roman" w:cs="Times New Roman"/>
          <w:sz w:val="24"/>
          <w:szCs w:val="24"/>
          <w:vertAlign w:val="superscript"/>
        </w:rPr>
        <w:footnoteReference w:id="1"/>
      </w:r>
      <w:r w:rsidRPr="00B824AA">
        <w:rPr>
          <w:rFonts w:ascii="Times New Roman" w:hAnsi="Times New Roman" w:cs="Times New Roman"/>
          <w:sz w:val="24"/>
          <w:szCs w:val="24"/>
        </w:rPr>
        <w:t xml:space="preserve"> przydzielone zostały odpowiednie wagi. Wartość ustalonych wag dla poszczególnych </w:t>
      </w:r>
      <w:r w:rsidR="00D55026" w:rsidRPr="00B824AA">
        <w:rPr>
          <w:rFonts w:ascii="Times New Roman" w:hAnsi="Times New Roman" w:cs="Times New Roman"/>
          <w:sz w:val="24"/>
          <w:szCs w:val="24"/>
        </w:rPr>
        <w:t>wymiarów</w:t>
      </w:r>
      <w:r w:rsidRPr="00B824AA">
        <w:rPr>
          <w:rFonts w:ascii="Times New Roman" w:hAnsi="Times New Roman" w:cs="Times New Roman"/>
          <w:sz w:val="24"/>
          <w:szCs w:val="24"/>
        </w:rPr>
        <w:t xml:space="preserve"> prezentuje Wykres 1. </w:t>
      </w:r>
    </w:p>
    <w:p w14:paraId="48ACE81F" w14:textId="77777777" w:rsidR="006B777F" w:rsidRPr="00B824AA" w:rsidRDefault="006B777F">
      <w:pPr>
        <w:rPr>
          <w:rFonts w:ascii="Times New Roman" w:hAnsi="Times New Roman" w:cs="Times New Roman"/>
        </w:rPr>
      </w:pPr>
      <w:r w:rsidRPr="00B824AA">
        <w:rPr>
          <w:rFonts w:ascii="Times New Roman" w:hAnsi="Times New Roman" w:cs="Times New Roman"/>
        </w:rPr>
        <w:br w:type="page"/>
      </w:r>
    </w:p>
    <w:p w14:paraId="5858B44D" w14:textId="7F0E3427" w:rsidR="009151F0" w:rsidRPr="00B824AA" w:rsidRDefault="009151F0" w:rsidP="009151F0">
      <w:pPr>
        <w:pStyle w:val="Caption"/>
        <w:rPr>
          <w:rFonts w:ascii="Times New Roman" w:hAnsi="Times New Roman" w:cs="Times New Roman"/>
          <w:b/>
          <w:bCs/>
          <w:sz w:val="22"/>
          <w:szCs w:val="22"/>
        </w:rPr>
      </w:pPr>
      <w:r w:rsidRPr="00B824AA">
        <w:rPr>
          <w:rFonts w:ascii="Times New Roman" w:hAnsi="Times New Roman" w:cs="Times New Roman"/>
          <w:sz w:val="22"/>
          <w:szCs w:val="22"/>
        </w:rPr>
        <w:lastRenderedPageBreak/>
        <w:t xml:space="preserve">Wykres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Wykres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1</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Wagi i liczba wskaźników w poszczególnych </w:t>
      </w:r>
      <w:r w:rsidR="00D55026" w:rsidRPr="00B824AA">
        <w:rPr>
          <w:rFonts w:ascii="Times New Roman" w:hAnsi="Times New Roman" w:cs="Times New Roman"/>
          <w:sz w:val="22"/>
          <w:szCs w:val="22"/>
        </w:rPr>
        <w:t>wymiarach</w:t>
      </w:r>
      <w:r w:rsidRPr="00B824AA">
        <w:rPr>
          <w:rFonts w:ascii="Times New Roman" w:hAnsi="Times New Roman" w:cs="Times New Roman"/>
          <w:sz w:val="22"/>
          <w:szCs w:val="22"/>
        </w:rPr>
        <w:t xml:space="preserve"> </w:t>
      </w:r>
      <w:r w:rsidRPr="00B824AA">
        <w:rPr>
          <w:rFonts w:ascii="Times New Roman" w:hAnsi="Times New Roman" w:cs="Times New Roman"/>
          <w:b/>
          <w:bCs/>
          <w:sz w:val="22"/>
          <w:szCs w:val="22"/>
        </w:rPr>
        <w:t xml:space="preserve">wskaźnika </w:t>
      </w:r>
      <w:proofErr w:type="spellStart"/>
      <w:r w:rsidRPr="00B824AA">
        <w:rPr>
          <w:rFonts w:ascii="Times New Roman" w:hAnsi="Times New Roman" w:cs="Times New Roman"/>
          <w:b/>
          <w:bCs/>
          <w:sz w:val="22"/>
          <w:szCs w:val="22"/>
        </w:rPr>
        <w:t>catch-up</w:t>
      </w:r>
      <w:proofErr w:type="spellEnd"/>
    </w:p>
    <w:p w14:paraId="5E09DD04" w14:textId="77777777" w:rsidR="009151F0" w:rsidRPr="00B824AA" w:rsidRDefault="009151F0" w:rsidP="009151F0">
      <w:pPr>
        <w:spacing w:line="276" w:lineRule="auto"/>
        <w:rPr>
          <w:rFonts w:ascii="Times New Roman" w:hAnsi="Times New Roman" w:cs="Times New Roman"/>
        </w:rPr>
      </w:pPr>
      <w:r w:rsidRPr="00B824AA">
        <w:rPr>
          <w:rFonts w:ascii="Times New Roman" w:hAnsi="Times New Roman" w:cs="Times New Roman"/>
          <w:noProof/>
          <w:lang w:eastAsia="pl-PL"/>
        </w:rPr>
        <w:drawing>
          <wp:inline distT="0" distB="0" distL="0" distR="0" wp14:anchorId="700E0E3E" wp14:editId="742AB251">
            <wp:extent cx="5907844" cy="2644482"/>
            <wp:effectExtent l="0" t="0" r="0" b="22860"/>
            <wp:docPr id="1950429236" name="Diagram 1">
              <a:extLst xmlns:a="http://schemas.openxmlformats.org/drawingml/2006/main">
                <a:ext uri="{FF2B5EF4-FFF2-40B4-BE49-F238E27FC236}">
                  <a16:creationId xmlns:a16="http://schemas.microsoft.com/office/drawing/2014/main" id="{0E33ED2A-D6BD-4FBA-D23D-82B06D50D7E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CFF6CA" w14:textId="6BFE5ED1" w:rsidR="00DB6F0D" w:rsidRPr="00B824AA" w:rsidRDefault="009151F0" w:rsidP="009151F0">
      <w:pPr>
        <w:spacing w:line="276" w:lineRule="auto"/>
        <w:jc w:val="both"/>
        <w:rPr>
          <w:rFonts w:ascii="Times New Roman" w:hAnsi="Times New Roman" w:cs="Times New Roman"/>
          <w:i/>
          <w:iCs/>
        </w:rPr>
      </w:pPr>
      <w:r w:rsidRPr="00B824AA">
        <w:rPr>
          <w:rFonts w:ascii="Times New Roman" w:hAnsi="Times New Roman" w:cs="Times New Roman"/>
          <w:i/>
          <w:iCs/>
        </w:rPr>
        <w:t>Źródło: obliczenia własne autorów</w:t>
      </w:r>
    </w:p>
    <w:p w14:paraId="3405C3C5" w14:textId="7AF89529" w:rsidR="006B777F" w:rsidRPr="00B824AA" w:rsidRDefault="006B777F" w:rsidP="00146222">
      <w:pPr>
        <w:pStyle w:val="Heading1"/>
        <w:numPr>
          <w:ilvl w:val="0"/>
          <w:numId w:val="6"/>
        </w:numPr>
        <w:rPr>
          <w:rFonts w:ascii="Times New Roman" w:hAnsi="Times New Roman" w:cs="Times New Roman"/>
          <w:sz w:val="36"/>
          <w:szCs w:val="36"/>
        </w:rPr>
      </w:pPr>
      <w:bookmarkStart w:id="1" w:name="_Toc162905457"/>
      <w:r w:rsidRPr="00B824AA">
        <w:rPr>
          <w:rFonts w:ascii="Times New Roman" w:hAnsi="Times New Roman" w:cs="Times New Roman"/>
          <w:sz w:val="36"/>
          <w:szCs w:val="36"/>
        </w:rPr>
        <w:t xml:space="preserve">Wskaźnik </w:t>
      </w:r>
      <w:proofErr w:type="spellStart"/>
      <w:r w:rsidRPr="00B824AA">
        <w:rPr>
          <w:rFonts w:ascii="Times New Roman" w:hAnsi="Times New Roman" w:cs="Times New Roman"/>
          <w:i/>
          <w:iCs/>
          <w:sz w:val="36"/>
          <w:szCs w:val="36"/>
        </w:rPr>
        <w:t>catch-up</w:t>
      </w:r>
      <w:proofErr w:type="spellEnd"/>
      <w:r w:rsidRPr="00B824AA">
        <w:rPr>
          <w:rFonts w:ascii="Times New Roman" w:hAnsi="Times New Roman" w:cs="Times New Roman"/>
          <w:sz w:val="36"/>
          <w:szCs w:val="36"/>
        </w:rPr>
        <w:t xml:space="preserve"> grupowy i syntetyczny: podsumowanie wyników</w:t>
      </w:r>
      <w:bookmarkEnd w:id="1"/>
    </w:p>
    <w:p w14:paraId="6877C787" w14:textId="693E97AE" w:rsidR="00536E2B" w:rsidRDefault="006A6ED6" w:rsidP="00221ECC">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Podsumowanie wskaźnika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grupowego </w:t>
      </w:r>
      <w:r w:rsidR="009B5EFC">
        <w:rPr>
          <w:rFonts w:ascii="Times New Roman" w:hAnsi="Times New Roman" w:cs="Times New Roman"/>
          <w:sz w:val="24"/>
          <w:szCs w:val="24"/>
        </w:rPr>
        <w:t xml:space="preserve">w latach 2010, 2015, 2020, 2021 i 2022 prezentuje wykres 2, podsumowanie wskaźnika </w:t>
      </w:r>
      <w:proofErr w:type="spellStart"/>
      <w:r w:rsidR="009B5EFC" w:rsidRPr="009B5EFC">
        <w:rPr>
          <w:rFonts w:ascii="Times New Roman" w:hAnsi="Times New Roman" w:cs="Times New Roman"/>
          <w:i/>
          <w:iCs/>
          <w:sz w:val="24"/>
          <w:szCs w:val="24"/>
        </w:rPr>
        <w:t>catch-up</w:t>
      </w:r>
      <w:proofErr w:type="spellEnd"/>
      <w:r w:rsidR="009B5EFC">
        <w:rPr>
          <w:rFonts w:ascii="Times New Roman" w:hAnsi="Times New Roman" w:cs="Times New Roman"/>
          <w:sz w:val="24"/>
          <w:szCs w:val="24"/>
        </w:rPr>
        <w:t xml:space="preserve"> grupowego </w:t>
      </w:r>
      <w:r w:rsidRPr="00B824AA">
        <w:rPr>
          <w:rFonts w:ascii="Times New Roman" w:hAnsi="Times New Roman" w:cs="Times New Roman"/>
          <w:sz w:val="24"/>
          <w:szCs w:val="24"/>
        </w:rPr>
        <w:t xml:space="preserve">oraz syntetycznych wskaźników </w:t>
      </w:r>
      <w:r w:rsidR="00D55026" w:rsidRPr="00B824AA">
        <w:rPr>
          <w:rFonts w:ascii="Times New Roman" w:hAnsi="Times New Roman" w:cs="Times New Roman"/>
          <w:sz w:val="24"/>
          <w:szCs w:val="24"/>
        </w:rPr>
        <w:t xml:space="preserve">dla każdego z siedmiu wymiarów </w:t>
      </w:r>
      <w:r w:rsidR="009E278F" w:rsidRPr="00B824AA">
        <w:rPr>
          <w:rFonts w:ascii="Times New Roman" w:hAnsi="Times New Roman" w:cs="Times New Roman"/>
          <w:sz w:val="24"/>
          <w:szCs w:val="24"/>
        </w:rPr>
        <w:t>w 202</w:t>
      </w:r>
      <w:r w:rsidR="009B5EFC">
        <w:rPr>
          <w:rFonts w:ascii="Times New Roman" w:hAnsi="Times New Roman" w:cs="Times New Roman"/>
          <w:sz w:val="24"/>
          <w:szCs w:val="24"/>
        </w:rPr>
        <w:t>2</w:t>
      </w:r>
      <w:r w:rsidR="009E278F" w:rsidRPr="00B824AA">
        <w:rPr>
          <w:rFonts w:ascii="Times New Roman" w:hAnsi="Times New Roman" w:cs="Times New Roman"/>
          <w:sz w:val="24"/>
          <w:szCs w:val="24"/>
        </w:rPr>
        <w:t xml:space="preserve"> r. prezentuje wykres </w:t>
      </w:r>
      <w:r w:rsidR="009B5EFC">
        <w:rPr>
          <w:rFonts w:ascii="Times New Roman" w:hAnsi="Times New Roman" w:cs="Times New Roman"/>
          <w:sz w:val="24"/>
          <w:szCs w:val="24"/>
        </w:rPr>
        <w:t>3</w:t>
      </w:r>
      <w:r w:rsidR="009E278F" w:rsidRPr="00B824AA">
        <w:rPr>
          <w:rFonts w:ascii="Times New Roman" w:hAnsi="Times New Roman" w:cs="Times New Roman"/>
          <w:sz w:val="24"/>
          <w:szCs w:val="24"/>
        </w:rPr>
        <w:t>, a porównanie wartości wskaźników w 2010, 2015, 2020</w:t>
      </w:r>
      <w:r w:rsidR="00536E2B">
        <w:rPr>
          <w:rFonts w:ascii="Times New Roman" w:hAnsi="Times New Roman" w:cs="Times New Roman"/>
          <w:sz w:val="24"/>
          <w:szCs w:val="24"/>
        </w:rPr>
        <w:t>, 2021</w:t>
      </w:r>
      <w:r w:rsidR="009E278F" w:rsidRPr="00B824AA">
        <w:rPr>
          <w:rFonts w:ascii="Times New Roman" w:hAnsi="Times New Roman" w:cs="Times New Roman"/>
          <w:sz w:val="24"/>
          <w:szCs w:val="24"/>
        </w:rPr>
        <w:t xml:space="preserve"> i 202</w:t>
      </w:r>
      <w:r w:rsidR="00536E2B">
        <w:rPr>
          <w:rFonts w:ascii="Times New Roman" w:hAnsi="Times New Roman" w:cs="Times New Roman"/>
          <w:sz w:val="24"/>
          <w:szCs w:val="24"/>
        </w:rPr>
        <w:t>2</w:t>
      </w:r>
      <w:r w:rsidR="009E278F" w:rsidRPr="00B824AA">
        <w:rPr>
          <w:rFonts w:ascii="Times New Roman" w:hAnsi="Times New Roman" w:cs="Times New Roman"/>
          <w:sz w:val="24"/>
          <w:szCs w:val="24"/>
        </w:rPr>
        <w:t xml:space="preserve"> r. – Tabela 1.</w:t>
      </w:r>
      <w:r w:rsidR="00D55026" w:rsidRPr="00B824AA">
        <w:rPr>
          <w:rFonts w:ascii="Times New Roman" w:hAnsi="Times New Roman" w:cs="Times New Roman"/>
          <w:sz w:val="24"/>
          <w:szCs w:val="24"/>
        </w:rPr>
        <w:t xml:space="preserve"> </w:t>
      </w:r>
    </w:p>
    <w:p w14:paraId="68D26F32" w14:textId="27B2477C" w:rsidR="00536E2B" w:rsidRDefault="00536E2B" w:rsidP="00536E2B">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Wykres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Wykres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2</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grupow</w:t>
      </w:r>
      <w:r>
        <w:rPr>
          <w:rFonts w:ascii="Times New Roman" w:hAnsi="Times New Roman" w:cs="Times New Roman"/>
          <w:sz w:val="22"/>
          <w:szCs w:val="22"/>
        </w:rPr>
        <w:t>y</w:t>
      </w:r>
      <w:r w:rsidRPr="00B824AA">
        <w:rPr>
          <w:rFonts w:ascii="Times New Roman" w:hAnsi="Times New Roman" w:cs="Times New Roman"/>
          <w:sz w:val="22"/>
          <w:szCs w:val="22"/>
        </w:rPr>
        <w:t xml:space="preserve"> w </w:t>
      </w:r>
      <w:r>
        <w:rPr>
          <w:rFonts w:ascii="Times New Roman" w:hAnsi="Times New Roman" w:cs="Times New Roman"/>
          <w:sz w:val="22"/>
          <w:szCs w:val="22"/>
        </w:rPr>
        <w:t xml:space="preserve">2005, 2010, 2015, </w:t>
      </w:r>
      <w:r w:rsidRPr="00B824AA">
        <w:rPr>
          <w:rFonts w:ascii="Times New Roman" w:hAnsi="Times New Roman" w:cs="Times New Roman"/>
          <w:sz w:val="22"/>
          <w:szCs w:val="22"/>
        </w:rPr>
        <w:t xml:space="preserve">2021 </w:t>
      </w:r>
      <w:r>
        <w:rPr>
          <w:rFonts w:ascii="Times New Roman" w:hAnsi="Times New Roman" w:cs="Times New Roman"/>
          <w:sz w:val="22"/>
          <w:szCs w:val="22"/>
        </w:rPr>
        <w:t xml:space="preserve">i 2022 </w:t>
      </w:r>
      <w:r w:rsidRPr="00B824AA">
        <w:rPr>
          <w:rFonts w:ascii="Times New Roman" w:hAnsi="Times New Roman" w:cs="Times New Roman"/>
          <w:sz w:val="22"/>
          <w:szCs w:val="22"/>
        </w:rPr>
        <w:t>r.</w:t>
      </w:r>
    </w:p>
    <w:p w14:paraId="62FE4B11" w14:textId="17D0D430" w:rsidR="00536E2B" w:rsidRDefault="00536E2B" w:rsidP="00221ECC">
      <w:pPr>
        <w:spacing w:line="360" w:lineRule="auto"/>
        <w:jc w:val="both"/>
        <w:rPr>
          <w:rFonts w:ascii="Times New Roman" w:hAnsi="Times New Roman" w:cs="Times New Roman"/>
          <w:sz w:val="24"/>
          <w:szCs w:val="24"/>
        </w:rPr>
      </w:pPr>
      <w:r>
        <w:rPr>
          <w:noProof/>
        </w:rPr>
        <w:drawing>
          <wp:inline distT="0" distB="0" distL="0" distR="0" wp14:anchorId="4168E252" wp14:editId="59FC3D09">
            <wp:extent cx="5907405" cy="2743200"/>
            <wp:effectExtent l="0" t="0" r="0" b="0"/>
            <wp:docPr id="2033160173" name="Chart 1">
              <a:extLst xmlns:a="http://schemas.openxmlformats.org/drawingml/2006/main">
                <a:ext uri="{FF2B5EF4-FFF2-40B4-BE49-F238E27FC236}">
                  <a16:creationId xmlns:a16="http://schemas.microsoft.com/office/drawing/2014/main" id="{ED6FD06C-5FEA-D6C5-FCA8-732BBD9081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509436" w14:textId="333D440B" w:rsidR="00536E2B" w:rsidRPr="00536E2B" w:rsidRDefault="00536E2B" w:rsidP="00536E2B">
      <w:pPr>
        <w:spacing w:line="276" w:lineRule="auto"/>
        <w:jc w:val="both"/>
        <w:rPr>
          <w:rFonts w:ascii="Times New Roman" w:hAnsi="Times New Roman" w:cs="Times New Roman"/>
          <w:i/>
          <w:iCs/>
        </w:rPr>
      </w:pPr>
      <w:r w:rsidRPr="00B824AA">
        <w:rPr>
          <w:rFonts w:ascii="Times New Roman" w:hAnsi="Times New Roman" w:cs="Times New Roman"/>
          <w:i/>
          <w:iCs/>
        </w:rPr>
        <w:t>Źródło: obliczenia własne autorów</w:t>
      </w:r>
      <w:r>
        <w:rPr>
          <w:rFonts w:ascii="Times New Roman" w:hAnsi="Times New Roman" w:cs="Times New Roman"/>
          <w:sz w:val="24"/>
          <w:szCs w:val="24"/>
        </w:rPr>
        <w:br w:type="page"/>
      </w:r>
    </w:p>
    <w:p w14:paraId="233D938C" w14:textId="0FE5FEFE" w:rsidR="009E278F" w:rsidRDefault="009E278F" w:rsidP="009E278F">
      <w:pPr>
        <w:pStyle w:val="Caption"/>
        <w:rPr>
          <w:rFonts w:ascii="Times New Roman" w:hAnsi="Times New Roman" w:cs="Times New Roman"/>
          <w:sz w:val="22"/>
          <w:szCs w:val="22"/>
        </w:rPr>
      </w:pPr>
      <w:r w:rsidRPr="00B824AA">
        <w:rPr>
          <w:rFonts w:ascii="Times New Roman" w:hAnsi="Times New Roman" w:cs="Times New Roman"/>
          <w:sz w:val="22"/>
          <w:szCs w:val="22"/>
        </w:rPr>
        <w:lastRenderedPageBreak/>
        <w:t xml:space="preserve">Wykres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Wykres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3</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grupowe i syntetyczne w 202</w:t>
      </w:r>
      <w:r w:rsidR="000F104C">
        <w:rPr>
          <w:rFonts w:ascii="Times New Roman" w:hAnsi="Times New Roman" w:cs="Times New Roman"/>
          <w:sz w:val="22"/>
          <w:szCs w:val="22"/>
        </w:rPr>
        <w:t>2</w:t>
      </w:r>
      <w:r w:rsidRPr="00B824AA">
        <w:rPr>
          <w:rFonts w:ascii="Times New Roman" w:hAnsi="Times New Roman" w:cs="Times New Roman"/>
          <w:sz w:val="22"/>
          <w:szCs w:val="22"/>
        </w:rPr>
        <w:t xml:space="preserve"> r.</w:t>
      </w:r>
    </w:p>
    <w:p w14:paraId="0677F3FC" w14:textId="3D9DA437" w:rsidR="009B5EFC" w:rsidRDefault="00536E2B" w:rsidP="009B5EFC">
      <w:r>
        <w:rPr>
          <w:noProof/>
        </w:rPr>
        <w:drawing>
          <wp:inline distT="0" distB="0" distL="0" distR="0" wp14:anchorId="63B19B42" wp14:editId="49ED7935">
            <wp:extent cx="5591175" cy="2495550"/>
            <wp:effectExtent l="0" t="0" r="0" b="0"/>
            <wp:docPr id="531023832" name="Chart 1">
              <a:extLst xmlns:a="http://schemas.openxmlformats.org/drawingml/2006/main">
                <a:ext uri="{FF2B5EF4-FFF2-40B4-BE49-F238E27FC236}">
                  <a16:creationId xmlns:a16="http://schemas.microsoft.com/office/drawing/2014/main" id="{DDD165FD-BE02-62B7-ADEE-33632D9EE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F709DC" w14:textId="5E52774E" w:rsidR="00536E2B" w:rsidRDefault="00536E2B" w:rsidP="009B5EFC">
      <w:r>
        <w:rPr>
          <w:noProof/>
        </w:rPr>
        <w:drawing>
          <wp:inline distT="0" distB="0" distL="0" distR="0" wp14:anchorId="1CB7CF84" wp14:editId="4C35EC43">
            <wp:extent cx="5591175" cy="2533650"/>
            <wp:effectExtent l="0" t="0" r="0" b="0"/>
            <wp:docPr id="1934982403" name="Chart 1">
              <a:extLst xmlns:a="http://schemas.openxmlformats.org/drawingml/2006/main">
                <a:ext uri="{FF2B5EF4-FFF2-40B4-BE49-F238E27FC236}">
                  <a16:creationId xmlns:a16="http://schemas.microsoft.com/office/drawing/2014/main" id="{4E2672DC-2692-41F5-97A0-ACBB23600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8FB422" w14:textId="781042B0" w:rsidR="00536E2B" w:rsidRPr="009B5EFC" w:rsidRDefault="00536E2B" w:rsidP="009B5EFC">
      <w:r>
        <w:rPr>
          <w:noProof/>
        </w:rPr>
        <w:drawing>
          <wp:inline distT="0" distB="0" distL="0" distR="0" wp14:anchorId="22DB5A5E" wp14:editId="6F8D6455">
            <wp:extent cx="5591175" cy="2619375"/>
            <wp:effectExtent l="0" t="0" r="0" b="0"/>
            <wp:docPr id="1243070422" name="Chart 1">
              <a:extLst xmlns:a="http://schemas.openxmlformats.org/drawingml/2006/main">
                <a:ext uri="{FF2B5EF4-FFF2-40B4-BE49-F238E27FC236}">
                  <a16:creationId xmlns:a16="http://schemas.microsoft.com/office/drawing/2014/main" id="{AD3F0B6C-1B94-404C-AD0D-78539AD22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F2AA54" w14:textId="77777777" w:rsidR="00221ECC" w:rsidRPr="00B824AA" w:rsidRDefault="00221ECC" w:rsidP="00221ECC">
      <w:pPr>
        <w:spacing w:line="276" w:lineRule="auto"/>
        <w:jc w:val="both"/>
        <w:rPr>
          <w:rFonts w:ascii="Times New Roman" w:hAnsi="Times New Roman" w:cs="Times New Roman"/>
          <w:i/>
          <w:iCs/>
        </w:rPr>
      </w:pPr>
      <w:r w:rsidRPr="00B824AA">
        <w:rPr>
          <w:rFonts w:ascii="Times New Roman" w:hAnsi="Times New Roman" w:cs="Times New Roman"/>
          <w:i/>
          <w:iCs/>
        </w:rPr>
        <w:t>Źródło: obliczenia własne autorów</w:t>
      </w:r>
    </w:p>
    <w:p w14:paraId="3B75F69A" w14:textId="4D2767EF" w:rsidR="006B1C47" w:rsidRPr="00B824AA" w:rsidRDefault="00DC4F39" w:rsidP="00DC4F39">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lastRenderedPageBreak/>
        <w:t>W 202</w:t>
      </w:r>
      <w:r w:rsidR="00536E2B">
        <w:rPr>
          <w:rFonts w:ascii="Times New Roman" w:hAnsi="Times New Roman" w:cs="Times New Roman"/>
          <w:sz w:val="24"/>
          <w:szCs w:val="24"/>
        </w:rPr>
        <w:t>2</w:t>
      </w:r>
      <w:r w:rsidRPr="00B824AA">
        <w:rPr>
          <w:rFonts w:ascii="Times New Roman" w:hAnsi="Times New Roman" w:cs="Times New Roman"/>
          <w:sz w:val="24"/>
          <w:szCs w:val="24"/>
        </w:rPr>
        <w:t xml:space="preserve"> r. wartość wskaźnika grupowego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i/>
          <w:iCs/>
          <w:sz w:val="24"/>
          <w:szCs w:val="24"/>
        </w:rPr>
        <w:t xml:space="preserve"> </w:t>
      </w:r>
      <w:r w:rsidRPr="00B824AA">
        <w:rPr>
          <w:rFonts w:ascii="Times New Roman" w:hAnsi="Times New Roman" w:cs="Times New Roman"/>
          <w:sz w:val="24"/>
          <w:szCs w:val="24"/>
        </w:rPr>
        <w:t>wskazywała na</w:t>
      </w:r>
      <w:r w:rsidR="00E05BF0">
        <w:rPr>
          <w:rFonts w:ascii="Times New Roman" w:hAnsi="Times New Roman" w:cs="Times New Roman"/>
          <w:sz w:val="24"/>
          <w:szCs w:val="24"/>
        </w:rPr>
        <w:t xml:space="preserve"> ciągle utrzymujący się</w:t>
      </w:r>
      <w:r w:rsidRPr="00B824AA">
        <w:rPr>
          <w:rFonts w:ascii="Times New Roman" w:hAnsi="Times New Roman" w:cs="Times New Roman"/>
          <w:sz w:val="24"/>
          <w:szCs w:val="24"/>
        </w:rPr>
        <w:t xml:space="preserve"> dystans pomiędzy Polską a krajami UE 27 i UE 14. </w:t>
      </w:r>
      <w:r w:rsidR="00EE7668">
        <w:rPr>
          <w:rFonts w:ascii="Times New Roman" w:hAnsi="Times New Roman" w:cs="Times New Roman"/>
          <w:sz w:val="24"/>
          <w:szCs w:val="24"/>
        </w:rPr>
        <w:t>Natomiast w</w:t>
      </w:r>
      <w:r w:rsidRPr="00B824AA">
        <w:rPr>
          <w:rFonts w:ascii="Times New Roman" w:hAnsi="Times New Roman" w:cs="Times New Roman"/>
          <w:sz w:val="24"/>
          <w:szCs w:val="24"/>
        </w:rPr>
        <w:t xml:space="preserve"> porównaniu do krajów UE 13 pod względem poziomu rozwoju społecznego, sytuacja w Polsce była </w:t>
      </w:r>
      <w:r w:rsidR="00536E2B">
        <w:rPr>
          <w:rFonts w:ascii="Times New Roman" w:hAnsi="Times New Roman" w:cs="Times New Roman"/>
          <w:sz w:val="24"/>
          <w:szCs w:val="24"/>
        </w:rPr>
        <w:t xml:space="preserve">powyżej </w:t>
      </w:r>
      <w:r w:rsidRPr="00B824AA">
        <w:rPr>
          <w:rFonts w:ascii="Times New Roman" w:hAnsi="Times New Roman" w:cs="Times New Roman"/>
          <w:sz w:val="24"/>
          <w:szCs w:val="24"/>
        </w:rPr>
        <w:t xml:space="preserve">średniej. Warto podkreślić, że w ciągu dekady – od 2010 do 2020 r. nastąpiło znaczące zmniejszenie różnic w poziomie rozwoju społecznego mierzonego wskaźnikiem </w:t>
      </w:r>
      <w:proofErr w:type="spellStart"/>
      <w:r w:rsidRPr="003C660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w porównaniu do wszystkich wyodrębnionych grup krajów. W 202</w:t>
      </w:r>
      <w:r w:rsidR="00536E2B">
        <w:rPr>
          <w:rFonts w:ascii="Times New Roman" w:hAnsi="Times New Roman" w:cs="Times New Roman"/>
          <w:sz w:val="24"/>
          <w:szCs w:val="24"/>
        </w:rPr>
        <w:t>2</w:t>
      </w:r>
      <w:r w:rsidRPr="00B824AA">
        <w:rPr>
          <w:rFonts w:ascii="Times New Roman" w:hAnsi="Times New Roman" w:cs="Times New Roman"/>
          <w:sz w:val="24"/>
          <w:szCs w:val="24"/>
        </w:rPr>
        <w:t xml:space="preserve"> r. widoczna jest poprawa wskaźnika grupowego w odniesieniu do krajów </w:t>
      </w:r>
      <w:r w:rsidR="00536E2B">
        <w:rPr>
          <w:rFonts w:ascii="Times New Roman" w:hAnsi="Times New Roman" w:cs="Times New Roman"/>
          <w:sz w:val="24"/>
          <w:szCs w:val="24"/>
        </w:rPr>
        <w:t>UE 14</w:t>
      </w:r>
      <w:r w:rsidRPr="00B824AA">
        <w:rPr>
          <w:rFonts w:ascii="Times New Roman" w:hAnsi="Times New Roman" w:cs="Times New Roman"/>
          <w:sz w:val="24"/>
          <w:szCs w:val="24"/>
        </w:rPr>
        <w:t>, a w konsekwencji także krajów UE 27.</w:t>
      </w:r>
      <w:r w:rsidR="00536E2B">
        <w:rPr>
          <w:rFonts w:ascii="Times New Roman" w:hAnsi="Times New Roman" w:cs="Times New Roman"/>
          <w:sz w:val="24"/>
          <w:szCs w:val="24"/>
        </w:rPr>
        <w:t xml:space="preserve"> W porównaniu do krajów UE 13, przewaga Polski utrzymała się na tym samym poziomie jak w latach 2020 i 2021. </w:t>
      </w:r>
    </w:p>
    <w:p w14:paraId="14583820" w14:textId="10A1C0FA" w:rsidR="00DC4F39" w:rsidRPr="00B824AA" w:rsidRDefault="00306253" w:rsidP="00DC4F39">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Jedynie w wymiarze dochody i deprywacja materialna, sytuacja w Polsce </w:t>
      </w:r>
      <w:r w:rsidR="002E23AE" w:rsidRPr="00B824AA">
        <w:rPr>
          <w:rFonts w:ascii="Times New Roman" w:hAnsi="Times New Roman" w:cs="Times New Roman"/>
          <w:sz w:val="24"/>
          <w:szCs w:val="24"/>
        </w:rPr>
        <w:t>w 202</w:t>
      </w:r>
      <w:r w:rsidR="00536E2B">
        <w:rPr>
          <w:rFonts w:ascii="Times New Roman" w:hAnsi="Times New Roman" w:cs="Times New Roman"/>
          <w:sz w:val="24"/>
          <w:szCs w:val="24"/>
        </w:rPr>
        <w:t>2</w:t>
      </w:r>
      <w:r w:rsidR="002E23AE" w:rsidRPr="00B824AA">
        <w:rPr>
          <w:rFonts w:ascii="Times New Roman" w:hAnsi="Times New Roman" w:cs="Times New Roman"/>
          <w:sz w:val="24"/>
          <w:szCs w:val="24"/>
        </w:rPr>
        <w:t xml:space="preserve"> r. kształtowała się relatywnie bardziej korzystnie niż we wszystkich </w:t>
      </w:r>
      <w:r w:rsidR="00BA4D79" w:rsidRPr="00B824AA">
        <w:rPr>
          <w:rFonts w:ascii="Times New Roman" w:hAnsi="Times New Roman" w:cs="Times New Roman"/>
          <w:sz w:val="24"/>
          <w:szCs w:val="24"/>
        </w:rPr>
        <w:t xml:space="preserve">trzech grupach krajów. </w:t>
      </w:r>
      <w:r w:rsidR="00536E2B">
        <w:rPr>
          <w:rFonts w:ascii="Times New Roman" w:hAnsi="Times New Roman" w:cs="Times New Roman"/>
          <w:sz w:val="24"/>
          <w:szCs w:val="24"/>
        </w:rPr>
        <w:t>W wymiarze warunki mieszkaniowe sytuacja Polski jest zbliżona do pozostałych krajów</w:t>
      </w:r>
      <w:r w:rsidR="00B30D0A">
        <w:rPr>
          <w:rFonts w:ascii="Times New Roman" w:hAnsi="Times New Roman" w:cs="Times New Roman"/>
          <w:sz w:val="24"/>
          <w:szCs w:val="24"/>
        </w:rPr>
        <w:t xml:space="preserve">. </w:t>
      </w:r>
      <w:r w:rsidR="00BA4D79" w:rsidRPr="00B824AA">
        <w:rPr>
          <w:rFonts w:ascii="Times New Roman" w:hAnsi="Times New Roman" w:cs="Times New Roman"/>
          <w:sz w:val="24"/>
          <w:szCs w:val="24"/>
        </w:rPr>
        <w:t>W</w:t>
      </w:r>
      <w:r w:rsidR="003C660F">
        <w:rPr>
          <w:rFonts w:ascii="Times New Roman" w:hAnsi="Times New Roman" w:cs="Times New Roman"/>
          <w:sz w:val="24"/>
          <w:szCs w:val="24"/>
        </w:rPr>
        <w:t> </w:t>
      </w:r>
      <w:r w:rsidR="00BA4D79" w:rsidRPr="00B824AA">
        <w:rPr>
          <w:rFonts w:ascii="Times New Roman" w:hAnsi="Times New Roman" w:cs="Times New Roman"/>
          <w:sz w:val="24"/>
          <w:szCs w:val="24"/>
        </w:rPr>
        <w:t>pozostałych wymiarach widoczny jest dystans pomiędzy Polską i krajami UE 27 i 14. Natomiast jeżeli porównamy sytuację Polski do krajów, które wstąpiły do Unii Europejskiej w</w:t>
      </w:r>
      <w:r w:rsidR="003C660F">
        <w:rPr>
          <w:rFonts w:ascii="Times New Roman" w:hAnsi="Times New Roman" w:cs="Times New Roman"/>
          <w:sz w:val="24"/>
          <w:szCs w:val="24"/>
        </w:rPr>
        <w:t> </w:t>
      </w:r>
      <w:r w:rsidR="00BA4D79" w:rsidRPr="00B824AA">
        <w:rPr>
          <w:rFonts w:ascii="Times New Roman" w:hAnsi="Times New Roman" w:cs="Times New Roman"/>
          <w:sz w:val="24"/>
          <w:szCs w:val="24"/>
        </w:rPr>
        <w:t>2004 r. lub później, w wymiarze zdrowia i edukacji sytuacja w Polsce w 202</w:t>
      </w:r>
      <w:r w:rsidR="000F104C">
        <w:rPr>
          <w:rFonts w:ascii="Times New Roman" w:hAnsi="Times New Roman" w:cs="Times New Roman"/>
          <w:sz w:val="24"/>
          <w:szCs w:val="24"/>
        </w:rPr>
        <w:t>2</w:t>
      </w:r>
      <w:r w:rsidR="00BA4D79" w:rsidRPr="00B824AA">
        <w:rPr>
          <w:rFonts w:ascii="Times New Roman" w:hAnsi="Times New Roman" w:cs="Times New Roman"/>
          <w:sz w:val="24"/>
          <w:szCs w:val="24"/>
        </w:rPr>
        <w:t xml:space="preserve"> r. była bardziej korzystna.</w:t>
      </w:r>
      <w:r w:rsidR="00F22143" w:rsidRPr="00B824AA">
        <w:rPr>
          <w:rFonts w:ascii="Times New Roman" w:hAnsi="Times New Roman" w:cs="Times New Roman"/>
          <w:sz w:val="24"/>
          <w:szCs w:val="24"/>
        </w:rPr>
        <w:t xml:space="preserve"> W </w:t>
      </w:r>
      <w:r w:rsidR="008927A0" w:rsidRPr="00B824AA">
        <w:rPr>
          <w:rFonts w:ascii="Times New Roman" w:hAnsi="Times New Roman" w:cs="Times New Roman"/>
          <w:sz w:val="24"/>
          <w:szCs w:val="24"/>
        </w:rPr>
        <w:t>202</w:t>
      </w:r>
      <w:r w:rsidR="000F104C">
        <w:rPr>
          <w:rFonts w:ascii="Times New Roman" w:hAnsi="Times New Roman" w:cs="Times New Roman"/>
          <w:sz w:val="24"/>
          <w:szCs w:val="24"/>
        </w:rPr>
        <w:t>2</w:t>
      </w:r>
      <w:r w:rsidR="008927A0" w:rsidRPr="00B824AA">
        <w:rPr>
          <w:rFonts w:ascii="Times New Roman" w:hAnsi="Times New Roman" w:cs="Times New Roman"/>
          <w:sz w:val="24"/>
          <w:szCs w:val="24"/>
        </w:rPr>
        <w:t xml:space="preserve"> r., w porównaniu do 202</w:t>
      </w:r>
      <w:r w:rsidR="000F104C">
        <w:rPr>
          <w:rFonts w:ascii="Times New Roman" w:hAnsi="Times New Roman" w:cs="Times New Roman"/>
          <w:sz w:val="24"/>
          <w:szCs w:val="24"/>
        </w:rPr>
        <w:t>1</w:t>
      </w:r>
      <w:r w:rsidR="008927A0" w:rsidRPr="00B824AA">
        <w:rPr>
          <w:rFonts w:ascii="Times New Roman" w:hAnsi="Times New Roman" w:cs="Times New Roman"/>
          <w:sz w:val="24"/>
          <w:szCs w:val="24"/>
        </w:rPr>
        <w:t xml:space="preserve"> r., </w:t>
      </w:r>
      <w:r w:rsidR="00B47157" w:rsidRPr="00B824AA">
        <w:rPr>
          <w:rFonts w:ascii="Times New Roman" w:hAnsi="Times New Roman" w:cs="Times New Roman"/>
          <w:sz w:val="24"/>
          <w:szCs w:val="24"/>
        </w:rPr>
        <w:t>dystans Polski do krajów UE 27 zmalał w</w:t>
      </w:r>
      <w:r w:rsidR="003C660F">
        <w:rPr>
          <w:rFonts w:ascii="Times New Roman" w:hAnsi="Times New Roman" w:cs="Times New Roman"/>
          <w:sz w:val="24"/>
          <w:szCs w:val="24"/>
        </w:rPr>
        <w:t> </w:t>
      </w:r>
      <w:r w:rsidR="00B47157" w:rsidRPr="00B824AA">
        <w:rPr>
          <w:rFonts w:ascii="Times New Roman" w:hAnsi="Times New Roman" w:cs="Times New Roman"/>
          <w:sz w:val="24"/>
          <w:szCs w:val="24"/>
        </w:rPr>
        <w:t xml:space="preserve">wymiarze </w:t>
      </w:r>
      <w:r w:rsidR="000F104C">
        <w:rPr>
          <w:rFonts w:ascii="Times New Roman" w:hAnsi="Times New Roman" w:cs="Times New Roman"/>
          <w:sz w:val="24"/>
          <w:szCs w:val="24"/>
        </w:rPr>
        <w:t>dochody i deprywacja materialna</w:t>
      </w:r>
      <w:r w:rsidR="00B47157" w:rsidRPr="00B824AA">
        <w:rPr>
          <w:rFonts w:ascii="Times New Roman" w:hAnsi="Times New Roman" w:cs="Times New Roman"/>
          <w:sz w:val="24"/>
          <w:szCs w:val="24"/>
        </w:rPr>
        <w:t xml:space="preserve">, a wzrósł w wymiarach </w:t>
      </w:r>
      <w:r w:rsidR="000F104C">
        <w:rPr>
          <w:rFonts w:ascii="Times New Roman" w:hAnsi="Times New Roman" w:cs="Times New Roman"/>
          <w:sz w:val="24"/>
          <w:szCs w:val="24"/>
        </w:rPr>
        <w:t>edukacja i ochrona środowiska</w:t>
      </w:r>
      <w:r w:rsidR="00B47157" w:rsidRPr="00B824AA">
        <w:rPr>
          <w:rFonts w:ascii="Times New Roman" w:hAnsi="Times New Roman" w:cs="Times New Roman"/>
          <w:sz w:val="24"/>
          <w:szCs w:val="24"/>
        </w:rPr>
        <w:t xml:space="preserve">. W pozostałych wymiarach nie nastąpiły istotne zmiany. </w:t>
      </w:r>
    </w:p>
    <w:p w14:paraId="54BE88CF" w14:textId="403A76A0" w:rsidR="00BA4D79" w:rsidRPr="00B824AA" w:rsidRDefault="00B47157" w:rsidP="00DC4F39">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W perspektywie od 2010 r. widoczna jest relatywna poprawa wartości wskaźników grupowego i</w:t>
      </w:r>
      <w:r w:rsidR="00EC3348" w:rsidRPr="00B824AA">
        <w:rPr>
          <w:rFonts w:ascii="Times New Roman" w:hAnsi="Times New Roman" w:cs="Times New Roman"/>
          <w:sz w:val="24"/>
          <w:szCs w:val="24"/>
        </w:rPr>
        <w:t> </w:t>
      </w:r>
      <w:r w:rsidRPr="00B824AA">
        <w:rPr>
          <w:rFonts w:ascii="Times New Roman" w:hAnsi="Times New Roman" w:cs="Times New Roman"/>
          <w:sz w:val="24"/>
          <w:szCs w:val="24"/>
        </w:rPr>
        <w:t xml:space="preserve">syntetycznych w Polsce w </w:t>
      </w:r>
      <w:r w:rsidR="000F104C">
        <w:rPr>
          <w:rFonts w:ascii="Times New Roman" w:hAnsi="Times New Roman" w:cs="Times New Roman"/>
          <w:sz w:val="24"/>
          <w:szCs w:val="24"/>
        </w:rPr>
        <w:t>pięciu</w:t>
      </w:r>
      <w:r w:rsidR="002551AB" w:rsidRPr="00B824AA">
        <w:rPr>
          <w:rFonts w:ascii="Times New Roman" w:hAnsi="Times New Roman" w:cs="Times New Roman"/>
          <w:sz w:val="24"/>
          <w:szCs w:val="24"/>
        </w:rPr>
        <w:t xml:space="preserve"> wymiarach, </w:t>
      </w:r>
      <w:r w:rsidR="000F104C">
        <w:rPr>
          <w:rFonts w:ascii="Times New Roman" w:hAnsi="Times New Roman" w:cs="Times New Roman"/>
          <w:sz w:val="24"/>
          <w:szCs w:val="24"/>
        </w:rPr>
        <w:t xml:space="preserve">a w dwóch wymiarach: zdrowie i </w:t>
      </w:r>
      <w:r w:rsidR="00EC3348" w:rsidRPr="00B824AA">
        <w:rPr>
          <w:rFonts w:ascii="Times New Roman" w:hAnsi="Times New Roman" w:cs="Times New Roman"/>
          <w:sz w:val="24"/>
          <w:szCs w:val="24"/>
        </w:rPr>
        <w:t>ochron</w:t>
      </w:r>
      <w:r w:rsidR="000F104C">
        <w:rPr>
          <w:rFonts w:ascii="Times New Roman" w:hAnsi="Times New Roman" w:cs="Times New Roman"/>
          <w:sz w:val="24"/>
          <w:szCs w:val="24"/>
        </w:rPr>
        <w:t>a</w:t>
      </w:r>
      <w:r w:rsidR="00EC3348" w:rsidRPr="00B824AA">
        <w:rPr>
          <w:rFonts w:ascii="Times New Roman" w:hAnsi="Times New Roman" w:cs="Times New Roman"/>
          <w:sz w:val="24"/>
          <w:szCs w:val="24"/>
        </w:rPr>
        <w:t xml:space="preserve"> środowiska</w:t>
      </w:r>
      <w:r w:rsidR="000F104C">
        <w:rPr>
          <w:rFonts w:ascii="Times New Roman" w:hAnsi="Times New Roman" w:cs="Times New Roman"/>
          <w:sz w:val="24"/>
          <w:szCs w:val="24"/>
        </w:rPr>
        <w:t xml:space="preserve"> wartość wskaźników syntetycznych w 2022 . była niższa niż w 2010 r.</w:t>
      </w:r>
      <w:r w:rsidR="00EC3348" w:rsidRPr="00B824AA">
        <w:rPr>
          <w:rFonts w:ascii="Times New Roman" w:hAnsi="Times New Roman" w:cs="Times New Roman"/>
          <w:sz w:val="24"/>
          <w:szCs w:val="24"/>
        </w:rPr>
        <w:t>.</w:t>
      </w:r>
    </w:p>
    <w:p w14:paraId="3112D5C4" w14:textId="1935EC51" w:rsidR="009B4EAA" w:rsidRPr="00B824AA" w:rsidRDefault="006B777F" w:rsidP="00DC4F39">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1</w:t>
      </w:r>
      <w:r w:rsidRPr="00B824AA">
        <w:rPr>
          <w:rFonts w:ascii="Times New Roman" w:hAnsi="Times New Roman" w:cs="Times New Roman"/>
          <w:sz w:val="22"/>
          <w:szCs w:val="22"/>
        </w:rPr>
        <w:fldChar w:fldCharType="end"/>
      </w:r>
      <w:r w:rsidR="009B4EAA"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009B4EAA" w:rsidRPr="00B824AA">
        <w:rPr>
          <w:rFonts w:ascii="Times New Roman" w:hAnsi="Times New Roman" w:cs="Times New Roman"/>
          <w:sz w:val="22"/>
          <w:szCs w:val="22"/>
        </w:rPr>
        <w:t xml:space="preserve"> grupowe i syntetyczne w latach 2010, 2015, 2020</w:t>
      </w:r>
      <w:r w:rsidR="001916FE">
        <w:rPr>
          <w:rFonts w:ascii="Times New Roman" w:hAnsi="Times New Roman" w:cs="Times New Roman"/>
          <w:sz w:val="22"/>
          <w:szCs w:val="22"/>
        </w:rPr>
        <w:t xml:space="preserve">, </w:t>
      </w:r>
      <w:r w:rsidR="009B4EAA" w:rsidRPr="00B824AA">
        <w:rPr>
          <w:rFonts w:ascii="Times New Roman" w:hAnsi="Times New Roman" w:cs="Times New Roman"/>
          <w:sz w:val="22"/>
          <w:szCs w:val="22"/>
        </w:rPr>
        <w:t>2021</w:t>
      </w:r>
      <w:r w:rsidR="001916FE">
        <w:rPr>
          <w:rFonts w:ascii="Times New Roman" w:hAnsi="Times New Roman" w:cs="Times New Roman"/>
          <w:sz w:val="22"/>
          <w:szCs w:val="22"/>
        </w:rPr>
        <w:t xml:space="preserve"> i 2022</w:t>
      </w:r>
      <w:r w:rsidR="009B4EAA" w:rsidRPr="00B824AA">
        <w:rPr>
          <w:rFonts w:ascii="Times New Roman" w:hAnsi="Times New Roman" w:cs="Times New Roman"/>
          <w:sz w:val="22"/>
          <w:szCs w:val="22"/>
        </w:rPr>
        <w:t>.</w:t>
      </w:r>
    </w:p>
    <w:tbl>
      <w:tblPr>
        <w:tblStyle w:val="TableGrid"/>
        <w:tblpPr w:leftFromText="141" w:rightFromText="141" w:vertAnchor="text" w:tblpY="1"/>
        <w:tblOverlap w:val="never"/>
        <w:tblW w:w="8927" w:type="dxa"/>
        <w:tblInd w:w="0" w:type="dxa"/>
        <w:tblLook w:val="04A0" w:firstRow="1" w:lastRow="0" w:firstColumn="1" w:lastColumn="0" w:noHBand="0" w:noVBand="1"/>
      </w:tblPr>
      <w:tblGrid>
        <w:gridCol w:w="2486"/>
        <w:gridCol w:w="2096"/>
        <w:gridCol w:w="2103"/>
        <w:gridCol w:w="2242"/>
      </w:tblGrid>
      <w:tr w:rsidR="009B4EAA" w:rsidRPr="00B824AA" w14:paraId="517E0F6D" w14:textId="77777777" w:rsidTr="00BD3216">
        <w:trPr>
          <w:trHeight w:val="460"/>
          <w:tblHeader/>
        </w:trPr>
        <w:tc>
          <w:tcPr>
            <w:tcW w:w="2486" w:type="dxa"/>
            <w:vMerge w:val="restart"/>
            <w:tcBorders>
              <w:top w:val="single" w:sz="4" w:space="0" w:color="auto"/>
              <w:left w:val="single" w:sz="4" w:space="0" w:color="auto"/>
              <w:bottom w:val="single" w:sz="4" w:space="0" w:color="auto"/>
              <w:right w:val="single" w:sz="4" w:space="0" w:color="auto"/>
            </w:tcBorders>
            <w:vAlign w:val="center"/>
            <w:hideMark/>
          </w:tcPr>
          <w:p w14:paraId="3A9F8D15" w14:textId="428D06AD" w:rsidR="009B4EAA" w:rsidRPr="00B824AA" w:rsidRDefault="00DC4F39" w:rsidP="00DB6F0D">
            <w:pPr>
              <w:jc w:val="center"/>
              <w:rPr>
                <w:rFonts w:ascii="Times New Roman" w:hAnsi="Times New Roman" w:cs="Times New Roman"/>
                <w:b/>
                <w:bCs/>
              </w:rPr>
            </w:pPr>
            <w:r w:rsidRPr="00B824AA">
              <w:rPr>
                <w:rFonts w:ascii="Times New Roman" w:hAnsi="Times New Roman" w:cs="Times New Roman"/>
                <w:b/>
                <w:bCs/>
              </w:rPr>
              <w:t>Wymiary</w:t>
            </w:r>
            <w:r w:rsidR="009B4EAA" w:rsidRPr="00B824AA">
              <w:rPr>
                <w:rFonts w:ascii="Times New Roman" w:hAnsi="Times New Roman" w:cs="Times New Roman"/>
                <w:b/>
                <w:bCs/>
              </w:rPr>
              <w:t xml:space="preserve"> i lata</w:t>
            </w:r>
          </w:p>
        </w:tc>
        <w:tc>
          <w:tcPr>
            <w:tcW w:w="6441" w:type="dxa"/>
            <w:gridSpan w:val="3"/>
            <w:tcBorders>
              <w:top w:val="single" w:sz="4" w:space="0" w:color="auto"/>
              <w:left w:val="single" w:sz="4" w:space="0" w:color="auto"/>
              <w:bottom w:val="single" w:sz="4" w:space="0" w:color="auto"/>
              <w:right w:val="single" w:sz="4" w:space="0" w:color="auto"/>
            </w:tcBorders>
            <w:vAlign w:val="center"/>
            <w:hideMark/>
          </w:tcPr>
          <w:p w14:paraId="15F4200B" w14:textId="4236DA25" w:rsidR="009B4EAA" w:rsidRPr="00B824AA" w:rsidRDefault="009B4EAA" w:rsidP="00DB6F0D">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i/>
                <w:iCs/>
              </w:rPr>
              <w:t>catch-up</w:t>
            </w:r>
            <w:proofErr w:type="spellEnd"/>
            <w:r w:rsidRPr="00B824AA">
              <w:rPr>
                <w:rFonts w:ascii="Times New Roman" w:hAnsi="Times New Roman" w:cs="Times New Roman"/>
                <w:b/>
                <w:bCs/>
              </w:rPr>
              <w:t xml:space="preserve"> w %</w:t>
            </w:r>
          </w:p>
        </w:tc>
      </w:tr>
      <w:tr w:rsidR="009B4EAA" w:rsidRPr="00B824AA" w14:paraId="55062D64" w14:textId="77777777" w:rsidTr="00BD3216">
        <w:trPr>
          <w:trHeight w:val="47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A2BC" w14:textId="77777777" w:rsidR="009B4EAA" w:rsidRPr="00B824AA" w:rsidRDefault="009B4EAA" w:rsidP="00DB6F0D">
            <w:pPr>
              <w:rPr>
                <w:rFonts w:ascii="Times New Roman" w:hAnsi="Times New Roman" w:cs="Times New Roman"/>
                <w:b/>
                <w:bCs/>
              </w:rPr>
            </w:pPr>
          </w:p>
        </w:tc>
        <w:tc>
          <w:tcPr>
            <w:tcW w:w="2096" w:type="dxa"/>
            <w:tcBorders>
              <w:top w:val="single" w:sz="4" w:space="0" w:color="auto"/>
              <w:left w:val="single" w:sz="4" w:space="0" w:color="auto"/>
              <w:bottom w:val="single" w:sz="4" w:space="0" w:color="auto"/>
              <w:right w:val="single" w:sz="4" w:space="0" w:color="auto"/>
            </w:tcBorders>
            <w:vAlign w:val="center"/>
            <w:hideMark/>
          </w:tcPr>
          <w:p w14:paraId="07C9F3D9" w14:textId="77777777" w:rsidR="009B4EAA" w:rsidRPr="00B824AA" w:rsidRDefault="009B4EAA" w:rsidP="00DB6F0D">
            <w:pPr>
              <w:jc w:val="center"/>
              <w:rPr>
                <w:rFonts w:ascii="Times New Roman" w:hAnsi="Times New Roman" w:cs="Times New Roman"/>
                <w:b/>
                <w:bCs/>
              </w:rPr>
            </w:pPr>
            <w:r w:rsidRPr="00B824AA">
              <w:rPr>
                <w:rFonts w:ascii="Times New Roman" w:hAnsi="Times New Roman" w:cs="Times New Roman"/>
                <w:b/>
                <w:bCs/>
              </w:rPr>
              <w:t>Polska – UE 27</w:t>
            </w:r>
          </w:p>
        </w:tc>
        <w:tc>
          <w:tcPr>
            <w:tcW w:w="2103" w:type="dxa"/>
            <w:tcBorders>
              <w:top w:val="single" w:sz="4" w:space="0" w:color="auto"/>
              <w:left w:val="single" w:sz="4" w:space="0" w:color="auto"/>
              <w:bottom w:val="single" w:sz="4" w:space="0" w:color="auto"/>
              <w:right w:val="single" w:sz="4" w:space="0" w:color="auto"/>
            </w:tcBorders>
            <w:vAlign w:val="center"/>
            <w:hideMark/>
          </w:tcPr>
          <w:p w14:paraId="699C6E86" w14:textId="17CFFCEF" w:rsidR="009B4EAA" w:rsidRPr="00B824AA" w:rsidRDefault="009B4EAA" w:rsidP="00DB6F0D">
            <w:pPr>
              <w:jc w:val="center"/>
              <w:rPr>
                <w:rFonts w:ascii="Times New Roman" w:hAnsi="Times New Roman" w:cs="Times New Roman"/>
                <w:b/>
                <w:bCs/>
              </w:rPr>
            </w:pPr>
            <w:r w:rsidRPr="00B824AA">
              <w:rPr>
                <w:rFonts w:ascii="Times New Roman" w:hAnsi="Times New Roman" w:cs="Times New Roman"/>
                <w:b/>
                <w:bCs/>
              </w:rPr>
              <w:t>Polska –</w:t>
            </w:r>
            <w:r w:rsidR="00D55026" w:rsidRPr="00B824AA">
              <w:rPr>
                <w:rFonts w:ascii="Times New Roman" w:hAnsi="Times New Roman" w:cs="Times New Roman"/>
                <w:b/>
                <w:bCs/>
              </w:rPr>
              <w:t>UE 14</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148E857" w14:textId="27D87FC7" w:rsidR="009B4EAA" w:rsidRPr="00B824AA" w:rsidRDefault="009B4EAA" w:rsidP="00DB6F0D">
            <w:pPr>
              <w:jc w:val="center"/>
              <w:rPr>
                <w:rFonts w:ascii="Times New Roman" w:hAnsi="Times New Roman" w:cs="Times New Roman"/>
                <w:b/>
                <w:bCs/>
              </w:rPr>
            </w:pPr>
            <w:r w:rsidRPr="00B824AA">
              <w:rPr>
                <w:rFonts w:ascii="Times New Roman" w:hAnsi="Times New Roman" w:cs="Times New Roman"/>
                <w:b/>
                <w:bCs/>
              </w:rPr>
              <w:t xml:space="preserve">Polska – </w:t>
            </w:r>
            <w:r w:rsidR="00D55026" w:rsidRPr="00B824AA">
              <w:rPr>
                <w:rFonts w:ascii="Times New Roman" w:hAnsi="Times New Roman" w:cs="Times New Roman"/>
                <w:b/>
                <w:bCs/>
              </w:rPr>
              <w:t>UE 13</w:t>
            </w:r>
          </w:p>
        </w:tc>
      </w:tr>
      <w:tr w:rsidR="009B4EAA" w:rsidRPr="00B824AA" w14:paraId="6FDE70DA" w14:textId="77777777" w:rsidTr="00BD3216">
        <w:tc>
          <w:tcPr>
            <w:tcW w:w="2486" w:type="dxa"/>
            <w:tcBorders>
              <w:top w:val="single" w:sz="4" w:space="0" w:color="auto"/>
              <w:left w:val="single" w:sz="4" w:space="0" w:color="auto"/>
              <w:bottom w:val="nil"/>
              <w:right w:val="single" w:sz="4" w:space="0" w:color="auto"/>
            </w:tcBorders>
            <w:hideMark/>
          </w:tcPr>
          <w:p w14:paraId="690842B9" w14:textId="77777777"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 xml:space="preserve">Ogółem  </w:t>
            </w:r>
          </w:p>
        </w:tc>
        <w:tc>
          <w:tcPr>
            <w:tcW w:w="2096" w:type="dxa"/>
            <w:tcBorders>
              <w:top w:val="single" w:sz="4" w:space="0" w:color="auto"/>
              <w:left w:val="single" w:sz="4" w:space="0" w:color="auto"/>
              <w:bottom w:val="nil"/>
              <w:right w:val="single" w:sz="4" w:space="0" w:color="auto"/>
            </w:tcBorders>
          </w:tcPr>
          <w:p w14:paraId="7CF49489" w14:textId="77777777" w:rsidR="009B4EAA" w:rsidRPr="00B824AA" w:rsidRDefault="009B4EAA" w:rsidP="00DB6F0D">
            <w:pPr>
              <w:tabs>
                <w:tab w:val="decimal" w:pos="850"/>
              </w:tabs>
              <w:rPr>
                <w:rFonts w:ascii="Times New Roman" w:hAnsi="Times New Roman" w:cs="Times New Roman"/>
              </w:rPr>
            </w:pPr>
          </w:p>
        </w:tc>
        <w:tc>
          <w:tcPr>
            <w:tcW w:w="2103" w:type="dxa"/>
            <w:tcBorders>
              <w:top w:val="single" w:sz="4" w:space="0" w:color="auto"/>
              <w:left w:val="single" w:sz="4" w:space="0" w:color="auto"/>
              <w:bottom w:val="nil"/>
              <w:right w:val="single" w:sz="4" w:space="0" w:color="auto"/>
            </w:tcBorders>
          </w:tcPr>
          <w:p w14:paraId="4DF34A19" w14:textId="77777777" w:rsidR="009B4EAA" w:rsidRPr="00B824AA" w:rsidRDefault="009B4EAA" w:rsidP="00DB6F0D">
            <w:pPr>
              <w:tabs>
                <w:tab w:val="decimal" w:pos="1034"/>
              </w:tabs>
              <w:rPr>
                <w:rFonts w:ascii="Times New Roman" w:hAnsi="Times New Roman" w:cs="Times New Roman"/>
              </w:rPr>
            </w:pPr>
          </w:p>
        </w:tc>
        <w:tc>
          <w:tcPr>
            <w:tcW w:w="2242" w:type="dxa"/>
            <w:tcBorders>
              <w:top w:val="single" w:sz="4" w:space="0" w:color="auto"/>
              <w:left w:val="single" w:sz="4" w:space="0" w:color="auto"/>
              <w:bottom w:val="nil"/>
              <w:right w:val="single" w:sz="4" w:space="0" w:color="auto"/>
            </w:tcBorders>
          </w:tcPr>
          <w:p w14:paraId="096E8484" w14:textId="77777777" w:rsidR="009B4EAA" w:rsidRPr="00B824AA" w:rsidRDefault="009B4EAA" w:rsidP="00DB6F0D">
            <w:pPr>
              <w:tabs>
                <w:tab w:val="decimal" w:pos="1115"/>
              </w:tabs>
              <w:rPr>
                <w:rFonts w:ascii="Times New Roman" w:hAnsi="Times New Roman" w:cs="Times New Roman"/>
              </w:rPr>
            </w:pPr>
          </w:p>
        </w:tc>
      </w:tr>
      <w:tr w:rsidR="00265029" w:rsidRPr="00B824AA" w14:paraId="55C52D44" w14:textId="77777777" w:rsidTr="005C77ED">
        <w:tc>
          <w:tcPr>
            <w:tcW w:w="2486" w:type="dxa"/>
            <w:tcBorders>
              <w:top w:val="nil"/>
              <w:left w:val="single" w:sz="4" w:space="0" w:color="auto"/>
              <w:bottom w:val="nil"/>
              <w:right w:val="single" w:sz="4" w:space="0" w:color="auto"/>
            </w:tcBorders>
            <w:hideMark/>
          </w:tcPr>
          <w:p w14:paraId="439C3E2D" w14:textId="77777777" w:rsidR="00265029" w:rsidRPr="00B824AA" w:rsidRDefault="00265029"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5C0A1C3D" w14:textId="052161A4" w:rsidR="00265029" w:rsidRPr="00623C41" w:rsidRDefault="00265029" w:rsidP="00DB6F0D">
            <w:pPr>
              <w:tabs>
                <w:tab w:val="decimal" w:pos="850"/>
              </w:tabs>
              <w:rPr>
                <w:rFonts w:ascii="Times New Roman" w:hAnsi="Times New Roman" w:cs="Times New Roman"/>
                <w:b/>
              </w:rPr>
            </w:pPr>
            <w:r w:rsidRPr="00623C41">
              <w:rPr>
                <w:rFonts w:ascii="Times New Roman" w:hAnsi="Times New Roman" w:cs="Times New Roman"/>
                <w:b/>
              </w:rPr>
              <w:t>59</w:t>
            </w:r>
          </w:p>
        </w:tc>
        <w:tc>
          <w:tcPr>
            <w:tcW w:w="2103" w:type="dxa"/>
            <w:tcBorders>
              <w:top w:val="nil"/>
              <w:left w:val="single" w:sz="4" w:space="0" w:color="auto"/>
              <w:bottom w:val="nil"/>
              <w:right w:val="single" w:sz="4" w:space="0" w:color="auto"/>
            </w:tcBorders>
          </w:tcPr>
          <w:p w14:paraId="0AEA2C7A" w14:textId="6CAB9416" w:rsidR="00265029" w:rsidRPr="00623C41" w:rsidRDefault="00265029" w:rsidP="00DB6F0D">
            <w:pPr>
              <w:tabs>
                <w:tab w:val="decimal" w:pos="1034"/>
              </w:tabs>
              <w:rPr>
                <w:rFonts w:ascii="Times New Roman" w:hAnsi="Times New Roman" w:cs="Times New Roman"/>
                <w:b/>
              </w:rPr>
            </w:pPr>
            <w:r w:rsidRPr="00623C41">
              <w:rPr>
                <w:rFonts w:ascii="Times New Roman" w:hAnsi="Times New Roman" w:cs="Times New Roman"/>
                <w:b/>
              </w:rPr>
              <w:t>56</w:t>
            </w:r>
          </w:p>
        </w:tc>
        <w:tc>
          <w:tcPr>
            <w:tcW w:w="2242" w:type="dxa"/>
            <w:tcBorders>
              <w:top w:val="nil"/>
              <w:left w:val="single" w:sz="4" w:space="0" w:color="auto"/>
              <w:bottom w:val="nil"/>
              <w:right w:val="single" w:sz="4" w:space="0" w:color="auto"/>
            </w:tcBorders>
          </w:tcPr>
          <w:p w14:paraId="54B8EF67" w14:textId="0D5D0316" w:rsidR="00265029" w:rsidRPr="00623C41" w:rsidRDefault="00265029" w:rsidP="00DB6F0D">
            <w:pPr>
              <w:tabs>
                <w:tab w:val="decimal" w:pos="1115"/>
              </w:tabs>
              <w:rPr>
                <w:rFonts w:ascii="Times New Roman" w:hAnsi="Times New Roman" w:cs="Times New Roman"/>
                <w:b/>
              </w:rPr>
            </w:pPr>
            <w:r w:rsidRPr="00623C41">
              <w:rPr>
                <w:rFonts w:ascii="Times New Roman" w:hAnsi="Times New Roman" w:cs="Times New Roman"/>
                <w:b/>
              </w:rPr>
              <w:t>92</w:t>
            </w:r>
          </w:p>
        </w:tc>
      </w:tr>
      <w:tr w:rsidR="00265029" w:rsidRPr="00B824AA" w14:paraId="2F20E9DF" w14:textId="77777777" w:rsidTr="005C77ED">
        <w:tc>
          <w:tcPr>
            <w:tcW w:w="2486" w:type="dxa"/>
            <w:tcBorders>
              <w:top w:val="nil"/>
              <w:left w:val="single" w:sz="4" w:space="0" w:color="auto"/>
              <w:bottom w:val="nil"/>
              <w:right w:val="single" w:sz="4" w:space="0" w:color="auto"/>
            </w:tcBorders>
            <w:hideMark/>
          </w:tcPr>
          <w:p w14:paraId="0866644C" w14:textId="77777777" w:rsidR="00265029" w:rsidRPr="00B824AA" w:rsidRDefault="00265029"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5B225BE0" w14:textId="444C1678" w:rsidR="00265029" w:rsidRPr="00623C41" w:rsidRDefault="00265029" w:rsidP="00DB6F0D">
            <w:pPr>
              <w:tabs>
                <w:tab w:val="decimal" w:pos="850"/>
              </w:tabs>
              <w:rPr>
                <w:rFonts w:ascii="Times New Roman" w:hAnsi="Times New Roman" w:cs="Times New Roman"/>
                <w:b/>
              </w:rPr>
            </w:pPr>
            <w:r w:rsidRPr="00623C41">
              <w:rPr>
                <w:rFonts w:ascii="Times New Roman" w:hAnsi="Times New Roman" w:cs="Times New Roman"/>
                <w:b/>
              </w:rPr>
              <w:t>70</w:t>
            </w:r>
          </w:p>
        </w:tc>
        <w:tc>
          <w:tcPr>
            <w:tcW w:w="2103" w:type="dxa"/>
            <w:tcBorders>
              <w:top w:val="nil"/>
              <w:left w:val="single" w:sz="4" w:space="0" w:color="auto"/>
              <w:bottom w:val="nil"/>
              <w:right w:val="single" w:sz="4" w:space="0" w:color="auto"/>
            </w:tcBorders>
          </w:tcPr>
          <w:p w14:paraId="502B76EB" w14:textId="3606CB44" w:rsidR="00265029" w:rsidRPr="00623C41" w:rsidRDefault="00265029" w:rsidP="00DB6F0D">
            <w:pPr>
              <w:tabs>
                <w:tab w:val="decimal" w:pos="1034"/>
              </w:tabs>
              <w:rPr>
                <w:rFonts w:ascii="Times New Roman" w:hAnsi="Times New Roman" w:cs="Times New Roman"/>
                <w:b/>
              </w:rPr>
            </w:pPr>
            <w:r w:rsidRPr="00623C41">
              <w:rPr>
                <w:rFonts w:ascii="Times New Roman" w:hAnsi="Times New Roman" w:cs="Times New Roman"/>
                <w:b/>
              </w:rPr>
              <w:t>66</w:t>
            </w:r>
          </w:p>
        </w:tc>
        <w:tc>
          <w:tcPr>
            <w:tcW w:w="2242" w:type="dxa"/>
            <w:tcBorders>
              <w:top w:val="nil"/>
              <w:left w:val="single" w:sz="4" w:space="0" w:color="auto"/>
              <w:bottom w:val="nil"/>
              <w:right w:val="single" w:sz="4" w:space="0" w:color="auto"/>
            </w:tcBorders>
          </w:tcPr>
          <w:p w14:paraId="2E7DE758" w14:textId="3DB0C918" w:rsidR="00265029" w:rsidRPr="00623C41" w:rsidRDefault="00265029" w:rsidP="00DB6F0D">
            <w:pPr>
              <w:tabs>
                <w:tab w:val="decimal" w:pos="1115"/>
              </w:tabs>
              <w:rPr>
                <w:rFonts w:ascii="Times New Roman" w:hAnsi="Times New Roman" w:cs="Times New Roman"/>
                <w:b/>
              </w:rPr>
            </w:pPr>
            <w:r w:rsidRPr="00623C41">
              <w:rPr>
                <w:rFonts w:ascii="Times New Roman" w:hAnsi="Times New Roman" w:cs="Times New Roman"/>
                <w:b/>
              </w:rPr>
              <w:t>98</w:t>
            </w:r>
          </w:p>
        </w:tc>
      </w:tr>
      <w:tr w:rsidR="00265029" w:rsidRPr="00B824AA" w14:paraId="5C0C340A" w14:textId="77777777" w:rsidTr="005C77ED">
        <w:tc>
          <w:tcPr>
            <w:tcW w:w="2486" w:type="dxa"/>
            <w:tcBorders>
              <w:top w:val="nil"/>
              <w:left w:val="single" w:sz="4" w:space="0" w:color="auto"/>
              <w:bottom w:val="nil"/>
              <w:right w:val="single" w:sz="4" w:space="0" w:color="auto"/>
            </w:tcBorders>
            <w:hideMark/>
          </w:tcPr>
          <w:p w14:paraId="1CB8CDC1" w14:textId="77777777" w:rsidR="00265029" w:rsidRPr="00B824AA" w:rsidRDefault="00265029"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78BA325C" w14:textId="421F6BF2" w:rsidR="00265029" w:rsidRPr="00623C41" w:rsidRDefault="00265029" w:rsidP="00DB6F0D">
            <w:pPr>
              <w:tabs>
                <w:tab w:val="decimal" w:pos="850"/>
              </w:tabs>
              <w:rPr>
                <w:rFonts w:ascii="Times New Roman" w:hAnsi="Times New Roman" w:cs="Times New Roman"/>
                <w:b/>
              </w:rPr>
            </w:pPr>
            <w:r w:rsidRPr="00623C41">
              <w:rPr>
                <w:rFonts w:ascii="Times New Roman" w:hAnsi="Times New Roman" w:cs="Times New Roman"/>
                <w:b/>
              </w:rPr>
              <w:t>87</w:t>
            </w:r>
          </w:p>
        </w:tc>
        <w:tc>
          <w:tcPr>
            <w:tcW w:w="2103" w:type="dxa"/>
            <w:tcBorders>
              <w:top w:val="nil"/>
              <w:left w:val="single" w:sz="4" w:space="0" w:color="auto"/>
              <w:bottom w:val="nil"/>
              <w:right w:val="single" w:sz="4" w:space="0" w:color="auto"/>
            </w:tcBorders>
          </w:tcPr>
          <w:p w14:paraId="1A2AFE0B" w14:textId="4A7CEEAB" w:rsidR="00265029" w:rsidRPr="00623C41" w:rsidRDefault="00265029" w:rsidP="00DB6F0D">
            <w:pPr>
              <w:tabs>
                <w:tab w:val="decimal" w:pos="1034"/>
              </w:tabs>
              <w:rPr>
                <w:rFonts w:ascii="Times New Roman" w:hAnsi="Times New Roman" w:cs="Times New Roman"/>
                <w:b/>
              </w:rPr>
            </w:pPr>
            <w:r w:rsidRPr="00623C41">
              <w:rPr>
                <w:rFonts w:ascii="Times New Roman" w:hAnsi="Times New Roman" w:cs="Times New Roman"/>
                <w:b/>
              </w:rPr>
              <w:t>86</w:t>
            </w:r>
          </w:p>
        </w:tc>
        <w:tc>
          <w:tcPr>
            <w:tcW w:w="2242" w:type="dxa"/>
            <w:tcBorders>
              <w:top w:val="nil"/>
              <w:left w:val="single" w:sz="4" w:space="0" w:color="auto"/>
              <w:bottom w:val="nil"/>
              <w:right w:val="single" w:sz="4" w:space="0" w:color="auto"/>
            </w:tcBorders>
          </w:tcPr>
          <w:p w14:paraId="7E60A0F8" w14:textId="35DCE219" w:rsidR="00265029" w:rsidRPr="00623C41" w:rsidRDefault="00265029" w:rsidP="00DB6F0D">
            <w:pPr>
              <w:tabs>
                <w:tab w:val="decimal" w:pos="1115"/>
              </w:tabs>
              <w:rPr>
                <w:rFonts w:ascii="Times New Roman" w:hAnsi="Times New Roman" w:cs="Times New Roman"/>
                <w:b/>
              </w:rPr>
            </w:pPr>
            <w:r w:rsidRPr="00623C41">
              <w:rPr>
                <w:rFonts w:ascii="Times New Roman" w:hAnsi="Times New Roman" w:cs="Times New Roman"/>
                <w:b/>
              </w:rPr>
              <w:t>104</w:t>
            </w:r>
          </w:p>
        </w:tc>
      </w:tr>
      <w:tr w:rsidR="00265029" w:rsidRPr="00B824AA" w14:paraId="75929CE3" w14:textId="77777777" w:rsidTr="005C77ED">
        <w:tc>
          <w:tcPr>
            <w:tcW w:w="2486" w:type="dxa"/>
            <w:tcBorders>
              <w:top w:val="nil"/>
              <w:left w:val="single" w:sz="4" w:space="0" w:color="auto"/>
              <w:bottom w:val="nil"/>
              <w:right w:val="single" w:sz="4" w:space="0" w:color="auto"/>
            </w:tcBorders>
            <w:hideMark/>
          </w:tcPr>
          <w:p w14:paraId="5B355DD7" w14:textId="32D38EA8" w:rsidR="00265029" w:rsidRPr="00B824AA" w:rsidRDefault="00265029"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295DE4C3" w14:textId="75DAB9F6" w:rsidR="00265029" w:rsidRPr="00623C41" w:rsidRDefault="00265029" w:rsidP="00DB6F0D">
            <w:pPr>
              <w:tabs>
                <w:tab w:val="decimal" w:pos="850"/>
              </w:tabs>
              <w:rPr>
                <w:rFonts w:ascii="Times New Roman" w:hAnsi="Times New Roman" w:cs="Times New Roman"/>
                <w:b/>
              </w:rPr>
            </w:pPr>
            <w:r w:rsidRPr="00623C41">
              <w:rPr>
                <w:rFonts w:ascii="Times New Roman" w:hAnsi="Times New Roman" w:cs="Times New Roman"/>
                <w:b/>
              </w:rPr>
              <w:t>85</w:t>
            </w:r>
          </w:p>
        </w:tc>
        <w:tc>
          <w:tcPr>
            <w:tcW w:w="2103" w:type="dxa"/>
            <w:tcBorders>
              <w:top w:val="nil"/>
              <w:left w:val="single" w:sz="4" w:space="0" w:color="auto"/>
              <w:bottom w:val="nil"/>
              <w:right w:val="single" w:sz="4" w:space="0" w:color="auto"/>
            </w:tcBorders>
          </w:tcPr>
          <w:p w14:paraId="121DD6A6" w14:textId="631D0D3F" w:rsidR="00265029" w:rsidRPr="00623C41" w:rsidRDefault="00265029" w:rsidP="00DB6F0D">
            <w:pPr>
              <w:tabs>
                <w:tab w:val="decimal" w:pos="1034"/>
              </w:tabs>
              <w:rPr>
                <w:rFonts w:ascii="Times New Roman" w:hAnsi="Times New Roman" w:cs="Times New Roman"/>
                <w:b/>
              </w:rPr>
            </w:pPr>
            <w:r w:rsidRPr="00623C41">
              <w:rPr>
                <w:rFonts w:ascii="Times New Roman" w:hAnsi="Times New Roman" w:cs="Times New Roman"/>
                <w:b/>
              </w:rPr>
              <w:t>83</w:t>
            </w:r>
          </w:p>
        </w:tc>
        <w:tc>
          <w:tcPr>
            <w:tcW w:w="2242" w:type="dxa"/>
            <w:tcBorders>
              <w:top w:val="nil"/>
              <w:left w:val="single" w:sz="4" w:space="0" w:color="auto"/>
              <w:bottom w:val="nil"/>
              <w:right w:val="single" w:sz="4" w:space="0" w:color="auto"/>
            </w:tcBorders>
          </w:tcPr>
          <w:p w14:paraId="1DC04E90" w14:textId="6C9225E4" w:rsidR="00265029" w:rsidRPr="00623C41" w:rsidRDefault="00265029" w:rsidP="00DB6F0D">
            <w:pPr>
              <w:tabs>
                <w:tab w:val="decimal" w:pos="1115"/>
              </w:tabs>
              <w:rPr>
                <w:rFonts w:ascii="Times New Roman" w:hAnsi="Times New Roman" w:cs="Times New Roman"/>
                <w:b/>
              </w:rPr>
            </w:pPr>
            <w:r w:rsidRPr="00623C41">
              <w:rPr>
                <w:rFonts w:ascii="Times New Roman" w:hAnsi="Times New Roman" w:cs="Times New Roman"/>
                <w:b/>
              </w:rPr>
              <w:t>104</w:t>
            </w:r>
          </w:p>
        </w:tc>
      </w:tr>
      <w:tr w:rsidR="00265029" w:rsidRPr="00B824AA" w14:paraId="2A1E4C31" w14:textId="77777777" w:rsidTr="005C77ED">
        <w:tc>
          <w:tcPr>
            <w:tcW w:w="2486" w:type="dxa"/>
            <w:tcBorders>
              <w:top w:val="nil"/>
              <w:left w:val="single" w:sz="4" w:space="0" w:color="auto"/>
              <w:bottom w:val="nil"/>
              <w:right w:val="single" w:sz="4" w:space="0" w:color="auto"/>
            </w:tcBorders>
          </w:tcPr>
          <w:p w14:paraId="555E7705" w14:textId="675DCC24" w:rsidR="00265029" w:rsidRPr="00B824AA" w:rsidRDefault="00265029" w:rsidP="00DB6F0D">
            <w:pPr>
              <w:rPr>
                <w:rFonts w:ascii="Times New Roman" w:hAnsi="Times New Roman" w:cs="Times New Roman"/>
              </w:rPr>
            </w:pPr>
            <w:r>
              <w:rPr>
                <w:rFonts w:ascii="Times New Roman" w:hAnsi="Times New Roman" w:cs="Times New Roman"/>
              </w:rPr>
              <w:t>2022</w:t>
            </w:r>
          </w:p>
        </w:tc>
        <w:tc>
          <w:tcPr>
            <w:tcW w:w="2096" w:type="dxa"/>
            <w:tcBorders>
              <w:top w:val="nil"/>
              <w:left w:val="single" w:sz="4" w:space="0" w:color="auto"/>
              <w:bottom w:val="nil"/>
              <w:right w:val="single" w:sz="4" w:space="0" w:color="auto"/>
            </w:tcBorders>
          </w:tcPr>
          <w:p w14:paraId="2408D22F" w14:textId="3DC48D45" w:rsidR="00265029" w:rsidRPr="00623C41" w:rsidRDefault="00265029" w:rsidP="00DB6F0D">
            <w:pPr>
              <w:tabs>
                <w:tab w:val="decimal" w:pos="850"/>
              </w:tabs>
              <w:rPr>
                <w:rFonts w:ascii="Times New Roman" w:hAnsi="Times New Roman" w:cs="Times New Roman"/>
                <w:b/>
              </w:rPr>
            </w:pPr>
            <w:r w:rsidRPr="00623C41">
              <w:rPr>
                <w:rFonts w:ascii="Times New Roman" w:hAnsi="Times New Roman" w:cs="Times New Roman"/>
                <w:b/>
              </w:rPr>
              <w:t>87</w:t>
            </w:r>
          </w:p>
        </w:tc>
        <w:tc>
          <w:tcPr>
            <w:tcW w:w="2103" w:type="dxa"/>
            <w:tcBorders>
              <w:top w:val="nil"/>
              <w:left w:val="single" w:sz="4" w:space="0" w:color="auto"/>
              <w:bottom w:val="nil"/>
              <w:right w:val="single" w:sz="4" w:space="0" w:color="auto"/>
            </w:tcBorders>
          </w:tcPr>
          <w:p w14:paraId="017426FA" w14:textId="386C6A0E" w:rsidR="00265029" w:rsidRPr="00623C41" w:rsidRDefault="00265029" w:rsidP="00DB6F0D">
            <w:pPr>
              <w:tabs>
                <w:tab w:val="decimal" w:pos="1034"/>
              </w:tabs>
              <w:rPr>
                <w:rFonts w:ascii="Times New Roman" w:hAnsi="Times New Roman" w:cs="Times New Roman"/>
                <w:b/>
              </w:rPr>
            </w:pPr>
            <w:r w:rsidRPr="00623C41">
              <w:rPr>
                <w:rFonts w:ascii="Times New Roman" w:hAnsi="Times New Roman" w:cs="Times New Roman"/>
                <w:b/>
              </w:rPr>
              <w:t>85</w:t>
            </w:r>
          </w:p>
        </w:tc>
        <w:tc>
          <w:tcPr>
            <w:tcW w:w="2242" w:type="dxa"/>
            <w:tcBorders>
              <w:top w:val="nil"/>
              <w:left w:val="single" w:sz="4" w:space="0" w:color="auto"/>
              <w:bottom w:val="nil"/>
              <w:right w:val="single" w:sz="4" w:space="0" w:color="auto"/>
            </w:tcBorders>
          </w:tcPr>
          <w:p w14:paraId="6007E663" w14:textId="322D7AB2" w:rsidR="00265029" w:rsidRPr="00623C41" w:rsidRDefault="00265029" w:rsidP="00DB6F0D">
            <w:pPr>
              <w:tabs>
                <w:tab w:val="decimal" w:pos="1115"/>
              </w:tabs>
              <w:rPr>
                <w:rFonts w:ascii="Times New Roman" w:hAnsi="Times New Roman" w:cs="Times New Roman"/>
                <w:b/>
              </w:rPr>
            </w:pPr>
            <w:r w:rsidRPr="00623C41">
              <w:rPr>
                <w:rFonts w:ascii="Times New Roman" w:hAnsi="Times New Roman" w:cs="Times New Roman"/>
                <w:b/>
              </w:rPr>
              <w:t>104</w:t>
            </w:r>
          </w:p>
        </w:tc>
      </w:tr>
      <w:tr w:rsidR="009B4EAA" w:rsidRPr="00B824AA" w14:paraId="0D11DE8B" w14:textId="77777777" w:rsidTr="00DB6F0D">
        <w:tc>
          <w:tcPr>
            <w:tcW w:w="2486" w:type="dxa"/>
            <w:tcBorders>
              <w:top w:val="nil"/>
              <w:left w:val="single" w:sz="4" w:space="0" w:color="auto"/>
              <w:bottom w:val="nil"/>
              <w:right w:val="single" w:sz="4" w:space="0" w:color="auto"/>
            </w:tcBorders>
            <w:hideMark/>
          </w:tcPr>
          <w:p w14:paraId="247D0396" w14:textId="77777777" w:rsidR="006B777F" w:rsidRPr="00B824AA" w:rsidRDefault="006B777F" w:rsidP="00DB6F0D">
            <w:pPr>
              <w:rPr>
                <w:rFonts w:ascii="Times New Roman" w:hAnsi="Times New Roman" w:cs="Times New Roman"/>
              </w:rPr>
            </w:pPr>
          </w:p>
          <w:p w14:paraId="1499A19C" w14:textId="79148D48"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 xml:space="preserve">Dochody i deprywacja materialna </w:t>
            </w:r>
          </w:p>
        </w:tc>
        <w:tc>
          <w:tcPr>
            <w:tcW w:w="2096" w:type="dxa"/>
            <w:tcBorders>
              <w:top w:val="nil"/>
              <w:left w:val="single" w:sz="4" w:space="0" w:color="auto"/>
              <w:bottom w:val="nil"/>
              <w:right w:val="single" w:sz="4" w:space="0" w:color="auto"/>
            </w:tcBorders>
          </w:tcPr>
          <w:p w14:paraId="64D99BEF"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0B401DDB"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35C621F7" w14:textId="77777777" w:rsidR="009B4EAA" w:rsidRPr="00B824AA" w:rsidRDefault="009B4EAA" w:rsidP="00DB6F0D">
            <w:pPr>
              <w:tabs>
                <w:tab w:val="decimal" w:pos="1115"/>
              </w:tabs>
              <w:rPr>
                <w:rFonts w:ascii="Times New Roman" w:hAnsi="Times New Roman" w:cs="Times New Roman"/>
              </w:rPr>
            </w:pPr>
          </w:p>
        </w:tc>
      </w:tr>
      <w:tr w:rsidR="00FB73A7" w:rsidRPr="00B824AA" w14:paraId="33879C52" w14:textId="77777777" w:rsidTr="00F04035">
        <w:tc>
          <w:tcPr>
            <w:tcW w:w="2486" w:type="dxa"/>
            <w:tcBorders>
              <w:top w:val="nil"/>
              <w:left w:val="single" w:sz="4" w:space="0" w:color="auto"/>
              <w:bottom w:val="nil"/>
              <w:right w:val="single" w:sz="4" w:space="0" w:color="auto"/>
            </w:tcBorders>
            <w:hideMark/>
          </w:tcPr>
          <w:p w14:paraId="01933DDC"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08B8DFB7" w14:textId="6EBED64C"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45</w:t>
            </w:r>
          </w:p>
        </w:tc>
        <w:tc>
          <w:tcPr>
            <w:tcW w:w="2103" w:type="dxa"/>
            <w:tcBorders>
              <w:top w:val="nil"/>
              <w:left w:val="single" w:sz="4" w:space="0" w:color="auto"/>
              <w:bottom w:val="nil"/>
              <w:right w:val="single" w:sz="4" w:space="0" w:color="auto"/>
            </w:tcBorders>
          </w:tcPr>
          <w:p w14:paraId="376B2B33" w14:textId="2A300B1C"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39</w:t>
            </w:r>
          </w:p>
        </w:tc>
        <w:tc>
          <w:tcPr>
            <w:tcW w:w="2242" w:type="dxa"/>
            <w:tcBorders>
              <w:top w:val="nil"/>
              <w:left w:val="single" w:sz="4" w:space="0" w:color="auto"/>
              <w:bottom w:val="nil"/>
              <w:right w:val="single" w:sz="4" w:space="0" w:color="auto"/>
            </w:tcBorders>
          </w:tcPr>
          <w:p w14:paraId="25651FF4" w14:textId="1027016C"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104</w:t>
            </w:r>
          </w:p>
        </w:tc>
      </w:tr>
      <w:tr w:rsidR="00FB73A7" w:rsidRPr="00B824AA" w14:paraId="167E0A4E" w14:textId="77777777" w:rsidTr="00F04035">
        <w:tc>
          <w:tcPr>
            <w:tcW w:w="2486" w:type="dxa"/>
            <w:tcBorders>
              <w:top w:val="nil"/>
              <w:left w:val="single" w:sz="4" w:space="0" w:color="auto"/>
              <w:bottom w:val="nil"/>
              <w:right w:val="single" w:sz="4" w:space="0" w:color="auto"/>
            </w:tcBorders>
            <w:hideMark/>
          </w:tcPr>
          <w:p w14:paraId="7484D6F8"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2737D87D" w14:textId="436E5451"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67</w:t>
            </w:r>
          </w:p>
        </w:tc>
        <w:tc>
          <w:tcPr>
            <w:tcW w:w="2103" w:type="dxa"/>
            <w:tcBorders>
              <w:top w:val="nil"/>
              <w:left w:val="single" w:sz="4" w:space="0" w:color="auto"/>
              <w:bottom w:val="nil"/>
              <w:right w:val="single" w:sz="4" w:space="0" w:color="auto"/>
            </w:tcBorders>
          </w:tcPr>
          <w:p w14:paraId="2478F892" w14:textId="7AA57739"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60</w:t>
            </w:r>
          </w:p>
        </w:tc>
        <w:tc>
          <w:tcPr>
            <w:tcW w:w="2242" w:type="dxa"/>
            <w:tcBorders>
              <w:top w:val="nil"/>
              <w:left w:val="single" w:sz="4" w:space="0" w:color="auto"/>
              <w:bottom w:val="nil"/>
              <w:right w:val="single" w:sz="4" w:space="0" w:color="auto"/>
            </w:tcBorders>
          </w:tcPr>
          <w:p w14:paraId="4FE4C59D" w14:textId="38DBB0B5"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119</w:t>
            </w:r>
          </w:p>
        </w:tc>
      </w:tr>
      <w:tr w:rsidR="00FB73A7" w:rsidRPr="00B824AA" w14:paraId="1454FEC6" w14:textId="77777777" w:rsidTr="00F04035">
        <w:tc>
          <w:tcPr>
            <w:tcW w:w="2486" w:type="dxa"/>
            <w:tcBorders>
              <w:top w:val="nil"/>
              <w:left w:val="single" w:sz="4" w:space="0" w:color="auto"/>
              <w:bottom w:val="nil"/>
              <w:right w:val="single" w:sz="4" w:space="0" w:color="auto"/>
            </w:tcBorders>
            <w:hideMark/>
          </w:tcPr>
          <w:p w14:paraId="7C5E05E2"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3E14AE1B" w14:textId="5F16D1EA"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115</w:t>
            </w:r>
          </w:p>
        </w:tc>
        <w:tc>
          <w:tcPr>
            <w:tcW w:w="2103" w:type="dxa"/>
            <w:tcBorders>
              <w:top w:val="nil"/>
              <w:left w:val="single" w:sz="4" w:space="0" w:color="auto"/>
              <w:bottom w:val="nil"/>
              <w:right w:val="single" w:sz="4" w:space="0" w:color="auto"/>
            </w:tcBorders>
          </w:tcPr>
          <w:p w14:paraId="3A681727" w14:textId="097FE6C3"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112</w:t>
            </w:r>
          </w:p>
        </w:tc>
        <w:tc>
          <w:tcPr>
            <w:tcW w:w="2242" w:type="dxa"/>
            <w:tcBorders>
              <w:top w:val="nil"/>
              <w:left w:val="single" w:sz="4" w:space="0" w:color="auto"/>
              <w:bottom w:val="nil"/>
              <w:right w:val="single" w:sz="4" w:space="0" w:color="auto"/>
            </w:tcBorders>
          </w:tcPr>
          <w:p w14:paraId="464D08BC" w14:textId="0AC477C6"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131</w:t>
            </w:r>
          </w:p>
        </w:tc>
      </w:tr>
      <w:tr w:rsidR="00FB73A7" w:rsidRPr="00B824AA" w14:paraId="165BE462" w14:textId="77777777" w:rsidTr="00F04035">
        <w:tc>
          <w:tcPr>
            <w:tcW w:w="2486" w:type="dxa"/>
            <w:tcBorders>
              <w:top w:val="nil"/>
              <w:left w:val="single" w:sz="4" w:space="0" w:color="auto"/>
              <w:bottom w:val="nil"/>
              <w:right w:val="single" w:sz="4" w:space="0" w:color="auto"/>
            </w:tcBorders>
            <w:hideMark/>
          </w:tcPr>
          <w:p w14:paraId="1BBEA9AE" w14:textId="77777777" w:rsidR="00FB73A7" w:rsidRPr="00B824AA" w:rsidRDefault="00FB73A7"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7C803114" w14:textId="2E338B7F"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103</w:t>
            </w:r>
          </w:p>
        </w:tc>
        <w:tc>
          <w:tcPr>
            <w:tcW w:w="2103" w:type="dxa"/>
            <w:tcBorders>
              <w:top w:val="nil"/>
              <w:left w:val="single" w:sz="4" w:space="0" w:color="auto"/>
              <w:bottom w:val="nil"/>
              <w:right w:val="single" w:sz="4" w:space="0" w:color="auto"/>
            </w:tcBorders>
          </w:tcPr>
          <w:p w14:paraId="5CE7C74C" w14:textId="0A7B5331"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99</w:t>
            </w:r>
          </w:p>
        </w:tc>
        <w:tc>
          <w:tcPr>
            <w:tcW w:w="2242" w:type="dxa"/>
            <w:tcBorders>
              <w:top w:val="nil"/>
              <w:left w:val="single" w:sz="4" w:space="0" w:color="auto"/>
              <w:bottom w:val="nil"/>
              <w:right w:val="single" w:sz="4" w:space="0" w:color="auto"/>
            </w:tcBorders>
          </w:tcPr>
          <w:p w14:paraId="42D59257" w14:textId="3833404A"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124</w:t>
            </w:r>
          </w:p>
        </w:tc>
      </w:tr>
      <w:tr w:rsidR="00FB73A7" w:rsidRPr="00B824AA" w14:paraId="20E52453" w14:textId="77777777" w:rsidTr="00F04035">
        <w:tc>
          <w:tcPr>
            <w:tcW w:w="2486" w:type="dxa"/>
            <w:tcBorders>
              <w:top w:val="nil"/>
              <w:left w:val="single" w:sz="4" w:space="0" w:color="auto"/>
              <w:bottom w:val="nil"/>
              <w:right w:val="single" w:sz="4" w:space="0" w:color="auto"/>
            </w:tcBorders>
          </w:tcPr>
          <w:p w14:paraId="33B28BB4" w14:textId="11AF3ADA" w:rsidR="00FB73A7" w:rsidRPr="00B824AA" w:rsidRDefault="00FB73A7" w:rsidP="00DB6F0D">
            <w:pPr>
              <w:rPr>
                <w:rFonts w:ascii="Times New Roman" w:hAnsi="Times New Roman" w:cs="Times New Roman"/>
              </w:rPr>
            </w:pPr>
            <w:r>
              <w:rPr>
                <w:rFonts w:ascii="Times New Roman" w:hAnsi="Times New Roman" w:cs="Times New Roman"/>
              </w:rPr>
              <w:lastRenderedPageBreak/>
              <w:t>2022</w:t>
            </w:r>
          </w:p>
        </w:tc>
        <w:tc>
          <w:tcPr>
            <w:tcW w:w="2096" w:type="dxa"/>
            <w:tcBorders>
              <w:top w:val="nil"/>
              <w:left w:val="single" w:sz="4" w:space="0" w:color="auto"/>
              <w:bottom w:val="nil"/>
              <w:right w:val="single" w:sz="4" w:space="0" w:color="auto"/>
            </w:tcBorders>
          </w:tcPr>
          <w:p w14:paraId="63A65A2C" w14:textId="21362748" w:rsidR="00FB73A7" w:rsidRPr="00FB73A7" w:rsidRDefault="00FB73A7" w:rsidP="00DB6F0D">
            <w:pPr>
              <w:tabs>
                <w:tab w:val="decimal" w:pos="850"/>
              </w:tabs>
              <w:rPr>
                <w:rFonts w:ascii="Times New Roman" w:hAnsi="Times New Roman" w:cs="Times New Roman"/>
                <w:color w:val="000000"/>
              </w:rPr>
            </w:pPr>
            <w:r w:rsidRPr="00FB73A7">
              <w:rPr>
                <w:rFonts w:ascii="Times New Roman" w:hAnsi="Times New Roman" w:cs="Times New Roman"/>
              </w:rPr>
              <w:t>115</w:t>
            </w:r>
          </w:p>
        </w:tc>
        <w:tc>
          <w:tcPr>
            <w:tcW w:w="2103" w:type="dxa"/>
            <w:tcBorders>
              <w:top w:val="nil"/>
              <w:left w:val="single" w:sz="4" w:space="0" w:color="auto"/>
              <w:bottom w:val="nil"/>
              <w:right w:val="single" w:sz="4" w:space="0" w:color="auto"/>
            </w:tcBorders>
          </w:tcPr>
          <w:p w14:paraId="7FDE2565" w14:textId="358DCB2D" w:rsidR="00FB73A7" w:rsidRPr="00FB73A7" w:rsidRDefault="00FB73A7" w:rsidP="00DB6F0D">
            <w:pPr>
              <w:tabs>
                <w:tab w:val="decimal" w:pos="1034"/>
              </w:tabs>
              <w:rPr>
                <w:rFonts w:ascii="Times New Roman" w:hAnsi="Times New Roman" w:cs="Times New Roman"/>
                <w:color w:val="000000"/>
              </w:rPr>
            </w:pPr>
            <w:r w:rsidRPr="00FB73A7">
              <w:rPr>
                <w:rFonts w:ascii="Times New Roman" w:hAnsi="Times New Roman" w:cs="Times New Roman"/>
              </w:rPr>
              <w:t>113</w:t>
            </w:r>
          </w:p>
        </w:tc>
        <w:tc>
          <w:tcPr>
            <w:tcW w:w="2242" w:type="dxa"/>
            <w:tcBorders>
              <w:top w:val="nil"/>
              <w:left w:val="single" w:sz="4" w:space="0" w:color="auto"/>
              <w:bottom w:val="nil"/>
              <w:right w:val="single" w:sz="4" w:space="0" w:color="auto"/>
            </w:tcBorders>
          </w:tcPr>
          <w:p w14:paraId="084D849D" w14:textId="1BB844E8" w:rsidR="00FB73A7" w:rsidRPr="00FB73A7" w:rsidRDefault="00FB73A7" w:rsidP="00DB6F0D">
            <w:pPr>
              <w:tabs>
                <w:tab w:val="decimal" w:pos="1115"/>
              </w:tabs>
              <w:rPr>
                <w:rFonts w:ascii="Times New Roman" w:hAnsi="Times New Roman" w:cs="Times New Roman"/>
                <w:color w:val="000000"/>
              </w:rPr>
            </w:pPr>
            <w:r w:rsidRPr="00FB73A7">
              <w:rPr>
                <w:rFonts w:ascii="Times New Roman" w:hAnsi="Times New Roman" w:cs="Times New Roman"/>
              </w:rPr>
              <w:t>128</w:t>
            </w:r>
          </w:p>
        </w:tc>
      </w:tr>
      <w:tr w:rsidR="009B4EAA" w:rsidRPr="00B824AA" w14:paraId="2FFCDFDE" w14:textId="77777777" w:rsidTr="00DB6F0D">
        <w:tc>
          <w:tcPr>
            <w:tcW w:w="2486" w:type="dxa"/>
            <w:tcBorders>
              <w:top w:val="nil"/>
              <w:left w:val="single" w:sz="4" w:space="0" w:color="auto"/>
              <w:bottom w:val="nil"/>
              <w:right w:val="single" w:sz="4" w:space="0" w:color="auto"/>
            </w:tcBorders>
            <w:hideMark/>
          </w:tcPr>
          <w:p w14:paraId="5FF41985" w14:textId="77777777" w:rsidR="006B777F" w:rsidRPr="00B824AA" w:rsidRDefault="006B777F" w:rsidP="00DB6F0D">
            <w:pPr>
              <w:rPr>
                <w:rFonts w:ascii="Times New Roman" w:hAnsi="Times New Roman" w:cs="Times New Roman"/>
              </w:rPr>
            </w:pPr>
          </w:p>
          <w:p w14:paraId="5E552FBC" w14:textId="6AFF51DA"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 xml:space="preserve">Rynek pracy </w:t>
            </w:r>
          </w:p>
        </w:tc>
        <w:tc>
          <w:tcPr>
            <w:tcW w:w="2096" w:type="dxa"/>
            <w:tcBorders>
              <w:top w:val="nil"/>
              <w:left w:val="single" w:sz="4" w:space="0" w:color="auto"/>
              <w:bottom w:val="nil"/>
              <w:right w:val="single" w:sz="4" w:space="0" w:color="auto"/>
            </w:tcBorders>
          </w:tcPr>
          <w:p w14:paraId="0515189E"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155E064B"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53243B1E" w14:textId="77777777" w:rsidR="009B4EAA" w:rsidRPr="00B824AA" w:rsidRDefault="009B4EAA" w:rsidP="00DB6F0D">
            <w:pPr>
              <w:tabs>
                <w:tab w:val="decimal" w:pos="1115"/>
              </w:tabs>
              <w:rPr>
                <w:rFonts w:ascii="Times New Roman" w:hAnsi="Times New Roman" w:cs="Times New Roman"/>
              </w:rPr>
            </w:pPr>
          </w:p>
        </w:tc>
      </w:tr>
      <w:tr w:rsidR="00FB73A7" w:rsidRPr="00B824AA" w14:paraId="3D25D2DA" w14:textId="77777777" w:rsidTr="00C10AF0">
        <w:tc>
          <w:tcPr>
            <w:tcW w:w="2486" w:type="dxa"/>
            <w:tcBorders>
              <w:top w:val="nil"/>
              <w:left w:val="single" w:sz="4" w:space="0" w:color="auto"/>
              <w:bottom w:val="nil"/>
              <w:right w:val="single" w:sz="4" w:space="0" w:color="auto"/>
            </w:tcBorders>
            <w:hideMark/>
          </w:tcPr>
          <w:p w14:paraId="132505B1"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0E581A11" w14:textId="5D6839D1"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63</w:t>
            </w:r>
          </w:p>
        </w:tc>
        <w:tc>
          <w:tcPr>
            <w:tcW w:w="2103" w:type="dxa"/>
            <w:tcBorders>
              <w:top w:val="nil"/>
              <w:left w:val="single" w:sz="4" w:space="0" w:color="auto"/>
              <w:bottom w:val="nil"/>
              <w:right w:val="single" w:sz="4" w:space="0" w:color="auto"/>
            </w:tcBorders>
          </w:tcPr>
          <w:p w14:paraId="64ECAB95" w14:textId="027EF560"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68</w:t>
            </w:r>
          </w:p>
        </w:tc>
        <w:tc>
          <w:tcPr>
            <w:tcW w:w="2242" w:type="dxa"/>
            <w:tcBorders>
              <w:top w:val="nil"/>
              <w:left w:val="single" w:sz="4" w:space="0" w:color="auto"/>
              <w:bottom w:val="nil"/>
              <w:right w:val="single" w:sz="4" w:space="0" w:color="auto"/>
            </w:tcBorders>
          </w:tcPr>
          <w:p w14:paraId="667F4FD0" w14:textId="5B980D4F"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63</w:t>
            </w:r>
          </w:p>
        </w:tc>
      </w:tr>
      <w:tr w:rsidR="00FB73A7" w:rsidRPr="00B824AA" w14:paraId="5B44661D" w14:textId="77777777" w:rsidTr="00C10AF0">
        <w:tc>
          <w:tcPr>
            <w:tcW w:w="2486" w:type="dxa"/>
            <w:tcBorders>
              <w:top w:val="nil"/>
              <w:left w:val="single" w:sz="4" w:space="0" w:color="auto"/>
              <w:bottom w:val="nil"/>
              <w:right w:val="single" w:sz="4" w:space="0" w:color="auto"/>
            </w:tcBorders>
            <w:hideMark/>
          </w:tcPr>
          <w:p w14:paraId="6F16CB6F"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58876426" w14:textId="73437AB2"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65</w:t>
            </w:r>
          </w:p>
        </w:tc>
        <w:tc>
          <w:tcPr>
            <w:tcW w:w="2103" w:type="dxa"/>
            <w:tcBorders>
              <w:top w:val="nil"/>
              <w:left w:val="single" w:sz="4" w:space="0" w:color="auto"/>
              <w:bottom w:val="nil"/>
              <w:right w:val="single" w:sz="4" w:space="0" w:color="auto"/>
            </w:tcBorders>
          </w:tcPr>
          <w:p w14:paraId="5D19E556" w14:textId="7EC6FE30"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68</w:t>
            </w:r>
          </w:p>
        </w:tc>
        <w:tc>
          <w:tcPr>
            <w:tcW w:w="2242" w:type="dxa"/>
            <w:tcBorders>
              <w:top w:val="nil"/>
              <w:left w:val="single" w:sz="4" w:space="0" w:color="auto"/>
              <w:bottom w:val="nil"/>
              <w:right w:val="single" w:sz="4" w:space="0" w:color="auto"/>
            </w:tcBorders>
          </w:tcPr>
          <w:p w14:paraId="458004C9" w14:textId="33127D7C"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68</w:t>
            </w:r>
          </w:p>
        </w:tc>
      </w:tr>
      <w:tr w:rsidR="00FB73A7" w:rsidRPr="00B824AA" w14:paraId="013AC72D" w14:textId="77777777" w:rsidTr="00C10AF0">
        <w:tc>
          <w:tcPr>
            <w:tcW w:w="2486" w:type="dxa"/>
            <w:tcBorders>
              <w:top w:val="nil"/>
              <w:left w:val="single" w:sz="4" w:space="0" w:color="auto"/>
              <w:bottom w:val="nil"/>
              <w:right w:val="single" w:sz="4" w:space="0" w:color="auto"/>
            </w:tcBorders>
            <w:hideMark/>
          </w:tcPr>
          <w:p w14:paraId="6A0E513B"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424F3773" w14:textId="6764D63C"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71</w:t>
            </w:r>
          </w:p>
        </w:tc>
        <w:tc>
          <w:tcPr>
            <w:tcW w:w="2103" w:type="dxa"/>
            <w:tcBorders>
              <w:top w:val="nil"/>
              <w:left w:val="single" w:sz="4" w:space="0" w:color="auto"/>
              <w:bottom w:val="nil"/>
              <w:right w:val="single" w:sz="4" w:space="0" w:color="auto"/>
            </w:tcBorders>
          </w:tcPr>
          <w:p w14:paraId="740F09A5" w14:textId="227BB3FC"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76</w:t>
            </w:r>
          </w:p>
        </w:tc>
        <w:tc>
          <w:tcPr>
            <w:tcW w:w="2242" w:type="dxa"/>
            <w:tcBorders>
              <w:top w:val="nil"/>
              <w:left w:val="single" w:sz="4" w:space="0" w:color="auto"/>
              <w:bottom w:val="nil"/>
              <w:right w:val="single" w:sz="4" w:space="0" w:color="auto"/>
            </w:tcBorders>
          </w:tcPr>
          <w:p w14:paraId="7FF1FB18" w14:textId="7EB48B82"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69</w:t>
            </w:r>
          </w:p>
        </w:tc>
      </w:tr>
      <w:tr w:rsidR="00FB73A7" w:rsidRPr="00B824AA" w14:paraId="14B7DE25" w14:textId="77777777" w:rsidTr="00C10AF0">
        <w:tc>
          <w:tcPr>
            <w:tcW w:w="2486" w:type="dxa"/>
            <w:tcBorders>
              <w:top w:val="nil"/>
              <w:left w:val="single" w:sz="4" w:space="0" w:color="auto"/>
              <w:bottom w:val="nil"/>
              <w:right w:val="single" w:sz="4" w:space="0" w:color="auto"/>
            </w:tcBorders>
            <w:hideMark/>
          </w:tcPr>
          <w:p w14:paraId="46F7BBC6" w14:textId="77777777" w:rsidR="00FB73A7" w:rsidRPr="00B824AA" w:rsidRDefault="00FB73A7"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28EB7E23" w14:textId="6F58E692"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80</w:t>
            </w:r>
          </w:p>
        </w:tc>
        <w:tc>
          <w:tcPr>
            <w:tcW w:w="2103" w:type="dxa"/>
            <w:tcBorders>
              <w:top w:val="nil"/>
              <w:left w:val="single" w:sz="4" w:space="0" w:color="auto"/>
              <w:bottom w:val="nil"/>
              <w:right w:val="single" w:sz="4" w:space="0" w:color="auto"/>
            </w:tcBorders>
          </w:tcPr>
          <w:p w14:paraId="6D52D689" w14:textId="409261E8"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84</w:t>
            </w:r>
          </w:p>
        </w:tc>
        <w:tc>
          <w:tcPr>
            <w:tcW w:w="2242" w:type="dxa"/>
            <w:tcBorders>
              <w:top w:val="nil"/>
              <w:left w:val="single" w:sz="4" w:space="0" w:color="auto"/>
              <w:bottom w:val="nil"/>
              <w:right w:val="single" w:sz="4" w:space="0" w:color="auto"/>
            </w:tcBorders>
          </w:tcPr>
          <w:p w14:paraId="1DFD2D19" w14:textId="4AC2C64A"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79</w:t>
            </w:r>
          </w:p>
        </w:tc>
      </w:tr>
      <w:tr w:rsidR="00FB73A7" w:rsidRPr="00B824AA" w14:paraId="4089A715" w14:textId="77777777" w:rsidTr="00DB6F0D">
        <w:tc>
          <w:tcPr>
            <w:tcW w:w="2486" w:type="dxa"/>
            <w:tcBorders>
              <w:top w:val="nil"/>
              <w:left w:val="single" w:sz="4" w:space="0" w:color="auto"/>
              <w:bottom w:val="nil"/>
              <w:right w:val="single" w:sz="4" w:space="0" w:color="auto"/>
            </w:tcBorders>
            <w:hideMark/>
          </w:tcPr>
          <w:p w14:paraId="0ABEF711" w14:textId="0A71879A" w:rsidR="00FB73A7" w:rsidRDefault="00FB73A7" w:rsidP="00DB6F0D">
            <w:pPr>
              <w:rPr>
                <w:rFonts w:ascii="Times New Roman" w:hAnsi="Times New Roman" w:cs="Times New Roman"/>
              </w:rPr>
            </w:pPr>
            <w:r>
              <w:rPr>
                <w:rFonts w:ascii="Times New Roman" w:hAnsi="Times New Roman" w:cs="Times New Roman"/>
              </w:rPr>
              <w:t>2022</w:t>
            </w:r>
          </w:p>
          <w:p w14:paraId="1573D824" w14:textId="77777777" w:rsidR="00FB73A7" w:rsidRPr="00B824AA" w:rsidRDefault="00FB73A7" w:rsidP="00DB6F0D">
            <w:pPr>
              <w:rPr>
                <w:rFonts w:ascii="Times New Roman" w:hAnsi="Times New Roman" w:cs="Times New Roman"/>
              </w:rPr>
            </w:pPr>
          </w:p>
          <w:p w14:paraId="6CD1DE8C" w14:textId="3283F0F0"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 xml:space="preserve">Warunki mieszkaniowe </w:t>
            </w:r>
          </w:p>
        </w:tc>
        <w:tc>
          <w:tcPr>
            <w:tcW w:w="2096" w:type="dxa"/>
            <w:tcBorders>
              <w:top w:val="nil"/>
              <w:left w:val="single" w:sz="4" w:space="0" w:color="auto"/>
              <w:bottom w:val="nil"/>
              <w:right w:val="single" w:sz="4" w:space="0" w:color="auto"/>
            </w:tcBorders>
          </w:tcPr>
          <w:p w14:paraId="4A538809" w14:textId="2D3DE9E3"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79</w:t>
            </w:r>
          </w:p>
        </w:tc>
        <w:tc>
          <w:tcPr>
            <w:tcW w:w="2103" w:type="dxa"/>
            <w:tcBorders>
              <w:top w:val="nil"/>
              <w:left w:val="single" w:sz="4" w:space="0" w:color="auto"/>
              <w:bottom w:val="nil"/>
              <w:right w:val="single" w:sz="4" w:space="0" w:color="auto"/>
            </w:tcBorders>
          </w:tcPr>
          <w:p w14:paraId="01969FC2" w14:textId="3B427D9C"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83</w:t>
            </w:r>
          </w:p>
        </w:tc>
        <w:tc>
          <w:tcPr>
            <w:tcW w:w="2242" w:type="dxa"/>
            <w:tcBorders>
              <w:top w:val="nil"/>
              <w:left w:val="single" w:sz="4" w:space="0" w:color="auto"/>
              <w:bottom w:val="nil"/>
              <w:right w:val="single" w:sz="4" w:space="0" w:color="auto"/>
            </w:tcBorders>
          </w:tcPr>
          <w:p w14:paraId="0A7B8AD4" w14:textId="00D9A2D7"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78</w:t>
            </w:r>
          </w:p>
        </w:tc>
      </w:tr>
      <w:tr w:rsidR="00FB73A7" w:rsidRPr="00B824AA" w14:paraId="64BF66F9" w14:textId="77777777" w:rsidTr="00367F18">
        <w:tc>
          <w:tcPr>
            <w:tcW w:w="2486" w:type="dxa"/>
            <w:tcBorders>
              <w:top w:val="nil"/>
              <w:left w:val="single" w:sz="4" w:space="0" w:color="auto"/>
              <w:bottom w:val="nil"/>
              <w:right w:val="single" w:sz="4" w:space="0" w:color="auto"/>
            </w:tcBorders>
            <w:hideMark/>
          </w:tcPr>
          <w:p w14:paraId="7BDB9B37"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32DE998C" w14:textId="15078ABA"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71</w:t>
            </w:r>
          </w:p>
        </w:tc>
        <w:tc>
          <w:tcPr>
            <w:tcW w:w="2103" w:type="dxa"/>
            <w:tcBorders>
              <w:top w:val="nil"/>
              <w:left w:val="single" w:sz="4" w:space="0" w:color="auto"/>
              <w:bottom w:val="nil"/>
              <w:right w:val="single" w:sz="4" w:space="0" w:color="auto"/>
            </w:tcBorders>
          </w:tcPr>
          <w:p w14:paraId="20B56069" w14:textId="5D61BA97"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67</w:t>
            </w:r>
          </w:p>
        </w:tc>
        <w:tc>
          <w:tcPr>
            <w:tcW w:w="2242" w:type="dxa"/>
            <w:tcBorders>
              <w:top w:val="nil"/>
              <w:left w:val="single" w:sz="4" w:space="0" w:color="auto"/>
              <w:bottom w:val="nil"/>
              <w:right w:val="single" w:sz="4" w:space="0" w:color="auto"/>
            </w:tcBorders>
          </w:tcPr>
          <w:p w14:paraId="694059BC" w14:textId="09401577"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104</w:t>
            </w:r>
          </w:p>
        </w:tc>
      </w:tr>
      <w:tr w:rsidR="00FB73A7" w:rsidRPr="00B824AA" w14:paraId="2D5E135E" w14:textId="77777777" w:rsidTr="00367F18">
        <w:tc>
          <w:tcPr>
            <w:tcW w:w="2486" w:type="dxa"/>
            <w:tcBorders>
              <w:top w:val="nil"/>
              <w:left w:val="single" w:sz="4" w:space="0" w:color="auto"/>
              <w:bottom w:val="nil"/>
              <w:right w:val="single" w:sz="4" w:space="0" w:color="auto"/>
            </w:tcBorders>
            <w:hideMark/>
          </w:tcPr>
          <w:p w14:paraId="1DDE4AF5"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73EE4D14" w14:textId="7A842B34"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72</w:t>
            </w:r>
          </w:p>
        </w:tc>
        <w:tc>
          <w:tcPr>
            <w:tcW w:w="2103" w:type="dxa"/>
            <w:tcBorders>
              <w:top w:val="nil"/>
              <w:left w:val="single" w:sz="4" w:space="0" w:color="auto"/>
              <w:bottom w:val="nil"/>
              <w:right w:val="single" w:sz="4" w:space="0" w:color="auto"/>
            </w:tcBorders>
          </w:tcPr>
          <w:p w14:paraId="180FDB53" w14:textId="3B7A53D7"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69</w:t>
            </w:r>
          </w:p>
        </w:tc>
        <w:tc>
          <w:tcPr>
            <w:tcW w:w="2242" w:type="dxa"/>
            <w:tcBorders>
              <w:top w:val="nil"/>
              <w:left w:val="single" w:sz="4" w:space="0" w:color="auto"/>
              <w:bottom w:val="nil"/>
              <w:right w:val="single" w:sz="4" w:space="0" w:color="auto"/>
            </w:tcBorders>
          </w:tcPr>
          <w:p w14:paraId="335DB7B9" w14:textId="5EEF32CC"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94</w:t>
            </w:r>
          </w:p>
        </w:tc>
      </w:tr>
      <w:tr w:rsidR="00FB73A7" w:rsidRPr="00B824AA" w14:paraId="1C445479" w14:textId="77777777" w:rsidTr="00367F18">
        <w:tc>
          <w:tcPr>
            <w:tcW w:w="2486" w:type="dxa"/>
            <w:tcBorders>
              <w:top w:val="nil"/>
              <w:left w:val="single" w:sz="4" w:space="0" w:color="auto"/>
              <w:bottom w:val="nil"/>
              <w:right w:val="single" w:sz="4" w:space="0" w:color="auto"/>
            </w:tcBorders>
            <w:hideMark/>
          </w:tcPr>
          <w:p w14:paraId="0D19CADA" w14:textId="77777777" w:rsidR="00FB73A7" w:rsidRPr="00B824AA" w:rsidRDefault="00FB73A7"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3187CE89" w14:textId="197CB831"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98</w:t>
            </w:r>
          </w:p>
        </w:tc>
        <w:tc>
          <w:tcPr>
            <w:tcW w:w="2103" w:type="dxa"/>
            <w:tcBorders>
              <w:top w:val="nil"/>
              <w:left w:val="single" w:sz="4" w:space="0" w:color="auto"/>
              <w:bottom w:val="nil"/>
              <w:right w:val="single" w:sz="4" w:space="0" w:color="auto"/>
            </w:tcBorders>
          </w:tcPr>
          <w:p w14:paraId="420B203B" w14:textId="60B301D8"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100</w:t>
            </w:r>
          </w:p>
        </w:tc>
        <w:tc>
          <w:tcPr>
            <w:tcW w:w="2242" w:type="dxa"/>
            <w:tcBorders>
              <w:top w:val="nil"/>
              <w:left w:val="single" w:sz="4" w:space="0" w:color="auto"/>
              <w:bottom w:val="nil"/>
              <w:right w:val="single" w:sz="4" w:space="0" w:color="auto"/>
            </w:tcBorders>
          </w:tcPr>
          <w:p w14:paraId="3FE055B2" w14:textId="4E5AB7B3"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102</w:t>
            </w:r>
          </w:p>
        </w:tc>
      </w:tr>
      <w:tr w:rsidR="00FB73A7" w:rsidRPr="00B824AA" w14:paraId="09EA2133" w14:textId="77777777" w:rsidTr="00367F18">
        <w:tc>
          <w:tcPr>
            <w:tcW w:w="2486" w:type="dxa"/>
            <w:tcBorders>
              <w:top w:val="nil"/>
              <w:left w:val="single" w:sz="4" w:space="0" w:color="auto"/>
              <w:bottom w:val="nil"/>
              <w:right w:val="single" w:sz="4" w:space="0" w:color="auto"/>
            </w:tcBorders>
            <w:hideMark/>
          </w:tcPr>
          <w:p w14:paraId="04697263" w14:textId="77777777" w:rsidR="00FB73A7" w:rsidRPr="00B824AA" w:rsidRDefault="00FB73A7"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5C55FDEE" w14:textId="09462E04" w:rsidR="00FB73A7" w:rsidRPr="00FB73A7" w:rsidRDefault="00FB73A7" w:rsidP="00DB6F0D">
            <w:pPr>
              <w:tabs>
                <w:tab w:val="decimal" w:pos="850"/>
              </w:tabs>
              <w:rPr>
                <w:rFonts w:ascii="Times New Roman" w:hAnsi="Times New Roman" w:cs="Times New Roman"/>
              </w:rPr>
            </w:pPr>
            <w:r w:rsidRPr="00FB73A7">
              <w:rPr>
                <w:rFonts w:ascii="Times New Roman" w:hAnsi="Times New Roman" w:cs="Times New Roman"/>
              </w:rPr>
              <w:t>95</w:t>
            </w:r>
          </w:p>
        </w:tc>
        <w:tc>
          <w:tcPr>
            <w:tcW w:w="2103" w:type="dxa"/>
            <w:tcBorders>
              <w:top w:val="nil"/>
              <w:left w:val="single" w:sz="4" w:space="0" w:color="auto"/>
              <w:bottom w:val="nil"/>
              <w:right w:val="single" w:sz="4" w:space="0" w:color="auto"/>
            </w:tcBorders>
          </w:tcPr>
          <w:p w14:paraId="69FB759D" w14:textId="645FF6B7" w:rsidR="00FB73A7" w:rsidRPr="00FB73A7" w:rsidRDefault="00FB73A7" w:rsidP="00DB6F0D">
            <w:pPr>
              <w:tabs>
                <w:tab w:val="decimal" w:pos="1034"/>
              </w:tabs>
              <w:rPr>
                <w:rFonts w:ascii="Times New Roman" w:hAnsi="Times New Roman" w:cs="Times New Roman"/>
              </w:rPr>
            </w:pPr>
            <w:r w:rsidRPr="00FB73A7">
              <w:rPr>
                <w:rFonts w:ascii="Times New Roman" w:hAnsi="Times New Roman" w:cs="Times New Roman"/>
              </w:rPr>
              <w:t>97</w:t>
            </w:r>
          </w:p>
        </w:tc>
        <w:tc>
          <w:tcPr>
            <w:tcW w:w="2242" w:type="dxa"/>
            <w:tcBorders>
              <w:top w:val="nil"/>
              <w:left w:val="single" w:sz="4" w:space="0" w:color="auto"/>
              <w:bottom w:val="nil"/>
              <w:right w:val="single" w:sz="4" w:space="0" w:color="auto"/>
            </w:tcBorders>
          </w:tcPr>
          <w:p w14:paraId="6EDC0649" w14:textId="5088AB36" w:rsidR="00FB73A7" w:rsidRPr="00FB73A7" w:rsidRDefault="00FB73A7" w:rsidP="00DB6F0D">
            <w:pPr>
              <w:tabs>
                <w:tab w:val="decimal" w:pos="1115"/>
              </w:tabs>
              <w:rPr>
                <w:rFonts w:ascii="Times New Roman" w:hAnsi="Times New Roman" w:cs="Times New Roman"/>
              </w:rPr>
            </w:pPr>
            <w:r w:rsidRPr="00FB73A7">
              <w:rPr>
                <w:rFonts w:ascii="Times New Roman" w:hAnsi="Times New Roman" w:cs="Times New Roman"/>
              </w:rPr>
              <w:t>100</w:t>
            </w:r>
          </w:p>
        </w:tc>
      </w:tr>
      <w:tr w:rsidR="00FB73A7" w:rsidRPr="00B824AA" w14:paraId="2386E223" w14:textId="77777777" w:rsidTr="00367F18">
        <w:tc>
          <w:tcPr>
            <w:tcW w:w="2486" w:type="dxa"/>
            <w:tcBorders>
              <w:top w:val="nil"/>
              <w:left w:val="single" w:sz="4" w:space="0" w:color="auto"/>
              <w:bottom w:val="nil"/>
              <w:right w:val="single" w:sz="4" w:space="0" w:color="auto"/>
            </w:tcBorders>
          </w:tcPr>
          <w:p w14:paraId="22438D9D" w14:textId="089E2944" w:rsidR="00FB73A7" w:rsidRPr="00B824AA" w:rsidRDefault="00FB73A7" w:rsidP="00DB6F0D">
            <w:pPr>
              <w:rPr>
                <w:rFonts w:ascii="Times New Roman" w:hAnsi="Times New Roman" w:cs="Times New Roman"/>
              </w:rPr>
            </w:pPr>
            <w:r>
              <w:rPr>
                <w:rFonts w:ascii="Times New Roman" w:hAnsi="Times New Roman" w:cs="Times New Roman"/>
              </w:rPr>
              <w:t>2022</w:t>
            </w:r>
          </w:p>
        </w:tc>
        <w:tc>
          <w:tcPr>
            <w:tcW w:w="2096" w:type="dxa"/>
            <w:tcBorders>
              <w:top w:val="nil"/>
              <w:left w:val="single" w:sz="4" w:space="0" w:color="auto"/>
              <w:bottom w:val="nil"/>
              <w:right w:val="single" w:sz="4" w:space="0" w:color="auto"/>
            </w:tcBorders>
          </w:tcPr>
          <w:p w14:paraId="149C784F" w14:textId="261D2391" w:rsidR="00FB73A7" w:rsidRPr="00FB73A7" w:rsidRDefault="00FB73A7" w:rsidP="00DB6F0D">
            <w:pPr>
              <w:tabs>
                <w:tab w:val="decimal" w:pos="850"/>
              </w:tabs>
              <w:rPr>
                <w:rFonts w:ascii="Times New Roman" w:hAnsi="Times New Roman" w:cs="Times New Roman"/>
                <w:color w:val="000000"/>
              </w:rPr>
            </w:pPr>
            <w:r w:rsidRPr="00FB73A7">
              <w:rPr>
                <w:rFonts w:ascii="Times New Roman" w:hAnsi="Times New Roman" w:cs="Times New Roman"/>
              </w:rPr>
              <w:t>96</w:t>
            </w:r>
          </w:p>
        </w:tc>
        <w:tc>
          <w:tcPr>
            <w:tcW w:w="2103" w:type="dxa"/>
            <w:tcBorders>
              <w:top w:val="nil"/>
              <w:left w:val="single" w:sz="4" w:space="0" w:color="auto"/>
              <w:bottom w:val="nil"/>
              <w:right w:val="single" w:sz="4" w:space="0" w:color="auto"/>
            </w:tcBorders>
          </w:tcPr>
          <w:p w14:paraId="51C031FC" w14:textId="46EA2933" w:rsidR="00FB73A7" w:rsidRPr="00FB73A7" w:rsidRDefault="00FB73A7" w:rsidP="00DB6F0D">
            <w:pPr>
              <w:tabs>
                <w:tab w:val="decimal" w:pos="1034"/>
              </w:tabs>
              <w:rPr>
                <w:rFonts w:ascii="Times New Roman" w:hAnsi="Times New Roman" w:cs="Times New Roman"/>
                <w:color w:val="000000"/>
              </w:rPr>
            </w:pPr>
            <w:r w:rsidRPr="00FB73A7">
              <w:rPr>
                <w:rFonts w:ascii="Times New Roman" w:hAnsi="Times New Roman" w:cs="Times New Roman"/>
              </w:rPr>
              <w:t>100</w:t>
            </w:r>
          </w:p>
        </w:tc>
        <w:tc>
          <w:tcPr>
            <w:tcW w:w="2242" w:type="dxa"/>
            <w:tcBorders>
              <w:top w:val="nil"/>
              <w:left w:val="single" w:sz="4" w:space="0" w:color="auto"/>
              <w:bottom w:val="nil"/>
              <w:right w:val="single" w:sz="4" w:space="0" w:color="auto"/>
            </w:tcBorders>
          </w:tcPr>
          <w:p w14:paraId="554A6EBB" w14:textId="203B53DC" w:rsidR="00FB73A7" w:rsidRPr="00FB73A7" w:rsidRDefault="00FB73A7" w:rsidP="00DB6F0D">
            <w:pPr>
              <w:tabs>
                <w:tab w:val="decimal" w:pos="1115"/>
              </w:tabs>
              <w:rPr>
                <w:rFonts w:ascii="Times New Roman" w:hAnsi="Times New Roman" w:cs="Times New Roman"/>
                <w:color w:val="000000"/>
              </w:rPr>
            </w:pPr>
            <w:r w:rsidRPr="00FB73A7">
              <w:rPr>
                <w:rFonts w:ascii="Times New Roman" w:hAnsi="Times New Roman" w:cs="Times New Roman"/>
              </w:rPr>
              <w:t>98</w:t>
            </w:r>
          </w:p>
        </w:tc>
      </w:tr>
      <w:tr w:rsidR="009B4EAA" w:rsidRPr="00B824AA" w14:paraId="0623B5F9" w14:textId="77777777" w:rsidTr="00DB6F0D">
        <w:tc>
          <w:tcPr>
            <w:tcW w:w="2486" w:type="dxa"/>
            <w:tcBorders>
              <w:top w:val="nil"/>
              <w:left w:val="single" w:sz="4" w:space="0" w:color="auto"/>
              <w:bottom w:val="nil"/>
              <w:right w:val="single" w:sz="4" w:space="0" w:color="auto"/>
            </w:tcBorders>
            <w:hideMark/>
          </w:tcPr>
          <w:p w14:paraId="663282E9" w14:textId="77777777" w:rsidR="006B777F" w:rsidRPr="00B824AA" w:rsidRDefault="006B777F" w:rsidP="00DB6F0D">
            <w:pPr>
              <w:rPr>
                <w:rFonts w:ascii="Times New Roman" w:hAnsi="Times New Roman" w:cs="Times New Roman"/>
              </w:rPr>
            </w:pPr>
          </w:p>
          <w:p w14:paraId="76084C9C" w14:textId="5B18EC6A"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 xml:space="preserve">Zdrowie  </w:t>
            </w:r>
          </w:p>
        </w:tc>
        <w:tc>
          <w:tcPr>
            <w:tcW w:w="2096" w:type="dxa"/>
            <w:tcBorders>
              <w:top w:val="nil"/>
              <w:left w:val="single" w:sz="4" w:space="0" w:color="auto"/>
              <w:bottom w:val="nil"/>
              <w:right w:val="single" w:sz="4" w:space="0" w:color="auto"/>
            </w:tcBorders>
          </w:tcPr>
          <w:p w14:paraId="376FE785"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5B11B40E"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513555A7" w14:textId="77777777" w:rsidR="009B4EAA" w:rsidRPr="00B824AA" w:rsidRDefault="009B4EAA" w:rsidP="00DB6F0D">
            <w:pPr>
              <w:tabs>
                <w:tab w:val="decimal" w:pos="1115"/>
              </w:tabs>
              <w:rPr>
                <w:rFonts w:ascii="Times New Roman" w:hAnsi="Times New Roman" w:cs="Times New Roman"/>
              </w:rPr>
            </w:pPr>
          </w:p>
        </w:tc>
      </w:tr>
      <w:tr w:rsidR="00482721" w:rsidRPr="00B824AA" w14:paraId="496952D7" w14:textId="77777777" w:rsidTr="00393AC5">
        <w:tc>
          <w:tcPr>
            <w:tcW w:w="2486" w:type="dxa"/>
            <w:tcBorders>
              <w:top w:val="nil"/>
              <w:left w:val="single" w:sz="4" w:space="0" w:color="auto"/>
              <w:bottom w:val="nil"/>
              <w:right w:val="single" w:sz="4" w:space="0" w:color="auto"/>
            </w:tcBorders>
            <w:hideMark/>
          </w:tcPr>
          <w:p w14:paraId="2308BDD1" w14:textId="77777777" w:rsidR="00482721" w:rsidRPr="00B824AA" w:rsidRDefault="00482721"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2166C2C9" w14:textId="60379F83" w:rsidR="00482721" w:rsidRPr="00482721" w:rsidRDefault="00482721" w:rsidP="00DB6F0D">
            <w:pPr>
              <w:tabs>
                <w:tab w:val="decimal" w:pos="850"/>
              </w:tabs>
              <w:rPr>
                <w:rFonts w:ascii="Times New Roman" w:hAnsi="Times New Roman" w:cs="Times New Roman"/>
              </w:rPr>
            </w:pPr>
            <w:r w:rsidRPr="00482721">
              <w:rPr>
                <w:rFonts w:ascii="Times New Roman" w:hAnsi="Times New Roman" w:cs="Times New Roman"/>
              </w:rPr>
              <w:t>88</w:t>
            </w:r>
          </w:p>
        </w:tc>
        <w:tc>
          <w:tcPr>
            <w:tcW w:w="2103" w:type="dxa"/>
            <w:tcBorders>
              <w:top w:val="nil"/>
              <w:left w:val="single" w:sz="4" w:space="0" w:color="auto"/>
              <w:bottom w:val="nil"/>
              <w:right w:val="single" w:sz="4" w:space="0" w:color="auto"/>
            </w:tcBorders>
          </w:tcPr>
          <w:p w14:paraId="7E4B53E9" w14:textId="50EF3E81" w:rsidR="00482721" w:rsidRPr="00482721" w:rsidRDefault="00482721" w:rsidP="00DB6F0D">
            <w:pPr>
              <w:tabs>
                <w:tab w:val="decimal" w:pos="1034"/>
              </w:tabs>
              <w:rPr>
                <w:rFonts w:ascii="Times New Roman" w:hAnsi="Times New Roman" w:cs="Times New Roman"/>
              </w:rPr>
            </w:pPr>
            <w:r w:rsidRPr="00482721">
              <w:rPr>
                <w:rFonts w:ascii="Times New Roman" w:hAnsi="Times New Roman" w:cs="Times New Roman"/>
              </w:rPr>
              <w:t>85</w:t>
            </w:r>
          </w:p>
        </w:tc>
        <w:tc>
          <w:tcPr>
            <w:tcW w:w="2242" w:type="dxa"/>
            <w:tcBorders>
              <w:top w:val="nil"/>
              <w:left w:val="single" w:sz="4" w:space="0" w:color="auto"/>
              <w:bottom w:val="nil"/>
              <w:right w:val="single" w:sz="4" w:space="0" w:color="auto"/>
            </w:tcBorders>
          </w:tcPr>
          <w:p w14:paraId="2ADF0902" w14:textId="053DB382" w:rsidR="00482721" w:rsidRPr="00482721" w:rsidRDefault="00482721" w:rsidP="00DB6F0D">
            <w:pPr>
              <w:tabs>
                <w:tab w:val="decimal" w:pos="1115"/>
              </w:tabs>
              <w:rPr>
                <w:rFonts w:ascii="Times New Roman" w:hAnsi="Times New Roman" w:cs="Times New Roman"/>
              </w:rPr>
            </w:pPr>
            <w:r w:rsidRPr="00482721">
              <w:rPr>
                <w:rFonts w:ascii="Times New Roman" w:hAnsi="Times New Roman" w:cs="Times New Roman"/>
              </w:rPr>
              <w:t>100</w:t>
            </w:r>
          </w:p>
        </w:tc>
      </w:tr>
      <w:tr w:rsidR="00482721" w:rsidRPr="00B824AA" w14:paraId="58AEC71E" w14:textId="77777777" w:rsidTr="00393AC5">
        <w:tc>
          <w:tcPr>
            <w:tcW w:w="2486" w:type="dxa"/>
            <w:tcBorders>
              <w:top w:val="nil"/>
              <w:left w:val="single" w:sz="4" w:space="0" w:color="auto"/>
              <w:bottom w:val="nil"/>
              <w:right w:val="single" w:sz="4" w:space="0" w:color="auto"/>
            </w:tcBorders>
            <w:hideMark/>
          </w:tcPr>
          <w:p w14:paraId="689BD606" w14:textId="77777777" w:rsidR="00482721" w:rsidRPr="00B824AA" w:rsidRDefault="00482721"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3D6E8ECE" w14:textId="2B1C3122" w:rsidR="00482721" w:rsidRPr="00482721" w:rsidRDefault="00482721" w:rsidP="00DB6F0D">
            <w:pPr>
              <w:tabs>
                <w:tab w:val="decimal" w:pos="850"/>
              </w:tabs>
              <w:rPr>
                <w:rFonts w:ascii="Times New Roman" w:hAnsi="Times New Roman" w:cs="Times New Roman"/>
              </w:rPr>
            </w:pPr>
            <w:r w:rsidRPr="00482721">
              <w:rPr>
                <w:rFonts w:ascii="Times New Roman" w:hAnsi="Times New Roman" w:cs="Times New Roman"/>
              </w:rPr>
              <w:t>89</w:t>
            </w:r>
          </w:p>
        </w:tc>
        <w:tc>
          <w:tcPr>
            <w:tcW w:w="2103" w:type="dxa"/>
            <w:tcBorders>
              <w:top w:val="nil"/>
              <w:left w:val="single" w:sz="4" w:space="0" w:color="auto"/>
              <w:bottom w:val="nil"/>
              <w:right w:val="single" w:sz="4" w:space="0" w:color="auto"/>
            </w:tcBorders>
          </w:tcPr>
          <w:p w14:paraId="55693A85" w14:textId="7395B3F3" w:rsidR="00482721" w:rsidRPr="00482721" w:rsidRDefault="00482721" w:rsidP="00DB6F0D">
            <w:pPr>
              <w:tabs>
                <w:tab w:val="decimal" w:pos="1034"/>
              </w:tabs>
              <w:rPr>
                <w:rFonts w:ascii="Times New Roman" w:hAnsi="Times New Roman" w:cs="Times New Roman"/>
              </w:rPr>
            </w:pPr>
            <w:r w:rsidRPr="00482721">
              <w:rPr>
                <w:rFonts w:ascii="Times New Roman" w:hAnsi="Times New Roman" w:cs="Times New Roman"/>
              </w:rPr>
              <w:t>87</w:t>
            </w:r>
          </w:p>
        </w:tc>
        <w:tc>
          <w:tcPr>
            <w:tcW w:w="2242" w:type="dxa"/>
            <w:tcBorders>
              <w:top w:val="nil"/>
              <w:left w:val="single" w:sz="4" w:space="0" w:color="auto"/>
              <w:bottom w:val="nil"/>
              <w:right w:val="single" w:sz="4" w:space="0" w:color="auto"/>
            </w:tcBorders>
          </w:tcPr>
          <w:p w14:paraId="40F6D74F" w14:textId="51255FDF" w:rsidR="00482721" w:rsidRPr="00482721" w:rsidRDefault="00482721" w:rsidP="00DB6F0D">
            <w:pPr>
              <w:tabs>
                <w:tab w:val="decimal" w:pos="1115"/>
              </w:tabs>
              <w:rPr>
                <w:rFonts w:ascii="Times New Roman" w:hAnsi="Times New Roman" w:cs="Times New Roman"/>
              </w:rPr>
            </w:pPr>
            <w:r w:rsidRPr="00482721">
              <w:rPr>
                <w:rFonts w:ascii="Times New Roman" w:hAnsi="Times New Roman" w:cs="Times New Roman"/>
              </w:rPr>
              <w:t>101</w:t>
            </w:r>
          </w:p>
        </w:tc>
      </w:tr>
      <w:tr w:rsidR="00482721" w:rsidRPr="00B824AA" w14:paraId="06E25049" w14:textId="77777777" w:rsidTr="00393AC5">
        <w:tc>
          <w:tcPr>
            <w:tcW w:w="2486" w:type="dxa"/>
            <w:tcBorders>
              <w:top w:val="nil"/>
              <w:left w:val="single" w:sz="4" w:space="0" w:color="auto"/>
              <w:bottom w:val="nil"/>
              <w:right w:val="single" w:sz="4" w:space="0" w:color="auto"/>
            </w:tcBorders>
            <w:hideMark/>
          </w:tcPr>
          <w:p w14:paraId="4419A66F" w14:textId="77777777" w:rsidR="00482721" w:rsidRPr="00B824AA" w:rsidRDefault="00482721"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2712D6AE" w14:textId="21DBCBC0" w:rsidR="00482721" w:rsidRPr="00482721" w:rsidRDefault="00482721" w:rsidP="00DB6F0D">
            <w:pPr>
              <w:tabs>
                <w:tab w:val="decimal" w:pos="850"/>
              </w:tabs>
              <w:rPr>
                <w:rFonts w:ascii="Times New Roman" w:hAnsi="Times New Roman" w:cs="Times New Roman"/>
              </w:rPr>
            </w:pPr>
            <w:r w:rsidRPr="00482721">
              <w:rPr>
                <w:rFonts w:ascii="Times New Roman" w:hAnsi="Times New Roman" w:cs="Times New Roman"/>
              </w:rPr>
              <w:t>88</w:t>
            </w:r>
          </w:p>
        </w:tc>
        <w:tc>
          <w:tcPr>
            <w:tcW w:w="2103" w:type="dxa"/>
            <w:tcBorders>
              <w:top w:val="nil"/>
              <w:left w:val="single" w:sz="4" w:space="0" w:color="auto"/>
              <w:bottom w:val="nil"/>
              <w:right w:val="single" w:sz="4" w:space="0" w:color="auto"/>
            </w:tcBorders>
          </w:tcPr>
          <w:p w14:paraId="18C28956" w14:textId="08244125" w:rsidR="00482721" w:rsidRPr="00482721" w:rsidRDefault="00482721" w:rsidP="00DB6F0D">
            <w:pPr>
              <w:tabs>
                <w:tab w:val="decimal" w:pos="1034"/>
              </w:tabs>
              <w:rPr>
                <w:rFonts w:ascii="Times New Roman" w:hAnsi="Times New Roman" w:cs="Times New Roman"/>
              </w:rPr>
            </w:pPr>
            <w:r w:rsidRPr="00482721">
              <w:rPr>
                <w:rFonts w:ascii="Times New Roman" w:hAnsi="Times New Roman" w:cs="Times New Roman"/>
              </w:rPr>
              <w:t>85</w:t>
            </w:r>
          </w:p>
        </w:tc>
        <w:tc>
          <w:tcPr>
            <w:tcW w:w="2242" w:type="dxa"/>
            <w:tcBorders>
              <w:top w:val="nil"/>
              <w:left w:val="single" w:sz="4" w:space="0" w:color="auto"/>
              <w:bottom w:val="nil"/>
              <w:right w:val="single" w:sz="4" w:space="0" w:color="auto"/>
            </w:tcBorders>
          </w:tcPr>
          <w:p w14:paraId="7A1B5D97" w14:textId="71E3EB5A" w:rsidR="00482721" w:rsidRPr="00482721" w:rsidRDefault="00482721" w:rsidP="00DB6F0D">
            <w:pPr>
              <w:tabs>
                <w:tab w:val="decimal" w:pos="1115"/>
              </w:tabs>
              <w:rPr>
                <w:rFonts w:ascii="Times New Roman" w:hAnsi="Times New Roman" w:cs="Times New Roman"/>
              </w:rPr>
            </w:pPr>
            <w:r w:rsidRPr="00482721">
              <w:rPr>
                <w:rFonts w:ascii="Times New Roman" w:hAnsi="Times New Roman" w:cs="Times New Roman"/>
              </w:rPr>
              <w:t>103</w:t>
            </w:r>
          </w:p>
        </w:tc>
      </w:tr>
      <w:tr w:rsidR="00482721" w:rsidRPr="00B824AA" w14:paraId="25441872" w14:textId="77777777" w:rsidTr="00393AC5">
        <w:tc>
          <w:tcPr>
            <w:tcW w:w="2486" w:type="dxa"/>
            <w:tcBorders>
              <w:top w:val="nil"/>
              <w:left w:val="single" w:sz="4" w:space="0" w:color="auto"/>
              <w:bottom w:val="nil"/>
              <w:right w:val="single" w:sz="4" w:space="0" w:color="auto"/>
            </w:tcBorders>
            <w:hideMark/>
          </w:tcPr>
          <w:p w14:paraId="332EBFAF" w14:textId="77777777" w:rsidR="00482721" w:rsidRPr="00B824AA" w:rsidRDefault="00482721"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237C7B23" w14:textId="4FC8BD67" w:rsidR="00482721" w:rsidRPr="00482721" w:rsidRDefault="00482721" w:rsidP="00DB6F0D">
            <w:pPr>
              <w:tabs>
                <w:tab w:val="decimal" w:pos="850"/>
              </w:tabs>
              <w:rPr>
                <w:rFonts w:ascii="Times New Roman" w:hAnsi="Times New Roman" w:cs="Times New Roman"/>
              </w:rPr>
            </w:pPr>
            <w:r w:rsidRPr="00482721">
              <w:rPr>
                <w:rFonts w:ascii="Times New Roman" w:hAnsi="Times New Roman" w:cs="Times New Roman"/>
              </w:rPr>
              <w:t>86</w:t>
            </w:r>
          </w:p>
        </w:tc>
        <w:tc>
          <w:tcPr>
            <w:tcW w:w="2103" w:type="dxa"/>
            <w:tcBorders>
              <w:top w:val="nil"/>
              <w:left w:val="single" w:sz="4" w:space="0" w:color="auto"/>
              <w:bottom w:val="nil"/>
              <w:right w:val="single" w:sz="4" w:space="0" w:color="auto"/>
            </w:tcBorders>
          </w:tcPr>
          <w:p w14:paraId="798CAA07" w14:textId="6316ECDC" w:rsidR="00482721" w:rsidRPr="00482721" w:rsidRDefault="00482721" w:rsidP="00DB6F0D">
            <w:pPr>
              <w:tabs>
                <w:tab w:val="decimal" w:pos="1034"/>
              </w:tabs>
              <w:rPr>
                <w:rFonts w:ascii="Times New Roman" w:hAnsi="Times New Roman" w:cs="Times New Roman"/>
              </w:rPr>
            </w:pPr>
            <w:r w:rsidRPr="00482721">
              <w:rPr>
                <w:rFonts w:ascii="Times New Roman" w:hAnsi="Times New Roman" w:cs="Times New Roman"/>
              </w:rPr>
              <w:t>83</w:t>
            </w:r>
          </w:p>
        </w:tc>
        <w:tc>
          <w:tcPr>
            <w:tcW w:w="2242" w:type="dxa"/>
            <w:tcBorders>
              <w:top w:val="nil"/>
              <w:left w:val="single" w:sz="4" w:space="0" w:color="auto"/>
              <w:bottom w:val="nil"/>
              <w:right w:val="single" w:sz="4" w:space="0" w:color="auto"/>
            </w:tcBorders>
          </w:tcPr>
          <w:p w14:paraId="2463D737" w14:textId="0189A8F7" w:rsidR="00482721" w:rsidRPr="00482721" w:rsidRDefault="00482721" w:rsidP="00DB6F0D">
            <w:pPr>
              <w:tabs>
                <w:tab w:val="decimal" w:pos="1115"/>
              </w:tabs>
              <w:rPr>
                <w:rFonts w:ascii="Times New Roman" w:hAnsi="Times New Roman" w:cs="Times New Roman"/>
              </w:rPr>
            </w:pPr>
            <w:r w:rsidRPr="00482721">
              <w:rPr>
                <w:rFonts w:ascii="Times New Roman" w:hAnsi="Times New Roman" w:cs="Times New Roman"/>
              </w:rPr>
              <w:t>103</w:t>
            </w:r>
          </w:p>
        </w:tc>
      </w:tr>
      <w:tr w:rsidR="00482721" w:rsidRPr="00B824AA" w14:paraId="65F5457E" w14:textId="77777777" w:rsidTr="00393AC5">
        <w:tc>
          <w:tcPr>
            <w:tcW w:w="2486" w:type="dxa"/>
            <w:tcBorders>
              <w:top w:val="nil"/>
              <w:left w:val="single" w:sz="4" w:space="0" w:color="auto"/>
              <w:bottom w:val="nil"/>
              <w:right w:val="single" w:sz="4" w:space="0" w:color="auto"/>
            </w:tcBorders>
          </w:tcPr>
          <w:p w14:paraId="5DECA211" w14:textId="0D77E292" w:rsidR="00482721" w:rsidRPr="00B824AA" w:rsidRDefault="00482721" w:rsidP="00DB6F0D">
            <w:pPr>
              <w:rPr>
                <w:rFonts w:ascii="Times New Roman" w:hAnsi="Times New Roman" w:cs="Times New Roman"/>
              </w:rPr>
            </w:pPr>
            <w:r>
              <w:rPr>
                <w:rFonts w:ascii="Times New Roman" w:hAnsi="Times New Roman" w:cs="Times New Roman"/>
              </w:rPr>
              <w:t>2022</w:t>
            </w:r>
          </w:p>
        </w:tc>
        <w:tc>
          <w:tcPr>
            <w:tcW w:w="2096" w:type="dxa"/>
            <w:tcBorders>
              <w:top w:val="nil"/>
              <w:left w:val="single" w:sz="4" w:space="0" w:color="auto"/>
              <w:bottom w:val="nil"/>
              <w:right w:val="single" w:sz="4" w:space="0" w:color="auto"/>
            </w:tcBorders>
          </w:tcPr>
          <w:p w14:paraId="5A1244F6" w14:textId="1923B492" w:rsidR="00482721" w:rsidRPr="00482721" w:rsidRDefault="00482721" w:rsidP="00DB6F0D">
            <w:pPr>
              <w:tabs>
                <w:tab w:val="decimal" w:pos="850"/>
              </w:tabs>
              <w:rPr>
                <w:rFonts w:ascii="Times New Roman" w:hAnsi="Times New Roman" w:cs="Times New Roman"/>
                <w:color w:val="000000"/>
              </w:rPr>
            </w:pPr>
            <w:r w:rsidRPr="00482721">
              <w:rPr>
                <w:rFonts w:ascii="Times New Roman" w:hAnsi="Times New Roman" w:cs="Times New Roman"/>
              </w:rPr>
              <w:t>86</w:t>
            </w:r>
          </w:p>
        </w:tc>
        <w:tc>
          <w:tcPr>
            <w:tcW w:w="2103" w:type="dxa"/>
            <w:tcBorders>
              <w:top w:val="nil"/>
              <w:left w:val="single" w:sz="4" w:space="0" w:color="auto"/>
              <w:bottom w:val="nil"/>
              <w:right w:val="single" w:sz="4" w:space="0" w:color="auto"/>
            </w:tcBorders>
          </w:tcPr>
          <w:p w14:paraId="09EC7999" w14:textId="09D2F84B" w:rsidR="00482721" w:rsidRPr="00482721" w:rsidRDefault="00482721" w:rsidP="00DB6F0D">
            <w:pPr>
              <w:tabs>
                <w:tab w:val="decimal" w:pos="1034"/>
              </w:tabs>
              <w:rPr>
                <w:rFonts w:ascii="Times New Roman" w:hAnsi="Times New Roman" w:cs="Times New Roman"/>
                <w:color w:val="000000"/>
              </w:rPr>
            </w:pPr>
            <w:r w:rsidRPr="00482721">
              <w:rPr>
                <w:rFonts w:ascii="Times New Roman" w:hAnsi="Times New Roman" w:cs="Times New Roman"/>
              </w:rPr>
              <w:t>83</w:t>
            </w:r>
          </w:p>
        </w:tc>
        <w:tc>
          <w:tcPr>
            <w:tcW w:w="2242" w:type="dxa"/>
            <w:tcBorders>
              <w:top w:val="nil"/>
              <w:left w:val="single" w:sz="4" w:space="0" w:color="auto"/>
              <w:bottom w:val="nil"/>
              <w:right w:val="single" w:sz="4" w:space="0" w:color="auto"/>
            </w:tcBorders>
          </w:tcPr>
          <w:p w14:paraId="50018918" w14:textId="7D8C1D83" w:rsidR="00482721" w:rsidRPr="00482721" w:rsidRDefault="00482721" w:rsidP="00DB6F0D">
            <w:pPr>
              <w:tabs>
                <w:tab w:val="decimal" w:pos="1115"/>
              </w:tabs>
              <w:rPr>
                <w:rFonts w:ascii="Times New Roman" w:hAnsi="Times New Roman" w:cs="Times New Roman"/>
                <w:color w:val="000000"/>
              </w:rPr>
            </w:pPr>
            <w:r w:rsidRPr="00482721">
              <w:rPr>
                <w:rFonts w:ascii="Times New Roman" w:hAnsi="Times New Roman" w:cs="Times New Roman"/>
              </w:rPr>
              <w:t>102</w:t>
            </w:r>
          </w:p>
        </w:tc>
      </w:tr>
      <w:tr w:rsidR="009B4EAA" w:rsidRPr="00B824AA" w14:paraId="42F13A5A" w14:textId="77777777" w:rsidTr="00DB6F0D">
        <w:tc>
          <w:tcPr>
            <w:tcW w:w="2486" w:type="dxa"/>
            <w:tcBorders>
              <w:top w:val="nil"/>
              <w:left w:val="single" w:sz="4" w:space="0" w:color="auto"/>
              <w:bottom w:val="nil"/>
              <w:right w:val="single" w:sz="4" w:space="0" w:color="auto"/>
            </w:tcBorders>
            <w:hideMark/>
          </w:tcPr>
          <w:p w14:paraId="1A7E1257" w14:textId="77777777" w:rsidR="006B777F" w:rsidRPr="00B824AA" w:rsidRDefault="006B777F" w:rsidP="00DB6F0D">
            <w:pPr>
              <w:rPr>
                <w:rFonts w:ascii="Times New Roman" w:hAnsi="Times New Roman" w:cs="Times New Roman"/>
              </w:rPr>
            </w:pPr>
          </w:p>
          <w:p w14:paraId="406AA17C" w14:textId="3AD50DC5"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 xml:space="preserve">Edukacja  </w:t>
            </w:r>
          </w:p>
        </w:tc>
        <w:tc>
          <w:tcPr>
            <w:tcW w:w="2096" w:type="dxa"/>
            <w:tcBorders>
              <w:top w:val="nil"/>
              <w:left w:val="single" w:sz="4" w:space="0" w:color="auto"/>
              <w:bottom w:val="nil"/>
              <w:right w:val="single" w:sz="4" w:space="0" w:color="auto"/>
            </w:tcBorders>
          </w:tcPr>
          <w:p w14:paraId="55C1E43E"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0A5E0255"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538C2841" w14:textId="77777777" w:rsidR="009B4EAA" w:rsidRPr="00B824AA" w:rsidRDefault="009B4EAA" w:rsidP="00DB6F0D">
            <w:pPr>
              <w:tabs>
                <w:tab w:val="decimal" w:pos="1115"/>
              </w:tabs>
              <w:rPr>
                <w:rFonts w:ascii="Times New Roman" w:hAnsi="Times New Roman" w:cs="Times New Roman"/>
              </w:rPr>
            </w:pPr>
          </w:p>
        </w:tc>
      </w:tr>
      <w:tr w:rsidR="00694DB2" w:rsidRPr="00B824AA" w14:paraId="45EF16CF" w14:textId="77777777" w:rsidTr="007C5F89">
        <w:tc>
          <w:tcPr>
            <w:tcW w:w="2486" w:type="dxa"/>
            <w:tcBorders>
              <w:top w:val="nil"/>
              <w:left w:val="single" w:sz="4" w:space="0" w:color="auto"/>
              <w:bottom w:val="nil"/>
              <w:right w:val="single" w:sz="4" w:space="0" w:color="auto"/>
            </w:tcBorders>
            <w:hideMark/>
          </w:tcPr>
          <w:p w14:paraId="3B586863" w14:textId="77777777" w:rsidR="00694DB2" w:rsidRPr="00B824AA" w:rsidRDefault="00694DB2"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49A961B3" w14:textId="5EC81C6E" w:rsidR="00694DB2" w:rsidRPr="00694DB2" w:rsidRDefault="00694DB2" w:rsidP="00DB6F0D">
            <w:pPr>
              <w:tabs>
                <w:tab w:val="decimal" w:pos="850"/>
              </w:tabs>
              <w:rPr>
                <w:rFonts w:ascii="Times New Roman" w:hAnsi="Times New Roman" w:cs="Times New Roman"/>
              </w:rPr>
            </w:pPr>
            <w:r w:rsidRPr="00694DB2">
              <w:rPr>
                <w:rFonts w:ascii="Times New Roman" w:hAnsi="Times New Roman" w:cs="Times New Roman"/>
              </w:rPr>
              <w:t>52</w:t>
            </w:r>
          </w:p>
        </w:tc>
        <w:tc>
          <w:tcPr>
            <w:tcW w:w="2103" w:type="dxa"/>
            <w:tcBorders>
              <w:top w:val="nil"/>
              <w:left w:val="single" w:sz="4" w:space="0" w:color="auto"/>
              <w:bottom w:val="nil"/>
              <w:right w:val="single" w:sz="4" w:space="0" w:color="auto"/>
            </w:tcBorders>
          </w:tcPr>
          <w:p w14:paraId="0215F1AA" w14:textId="3DF79522" w:rsidR="00694DB2" w:rsidRPr="00694DB2" w:rsidRDefault="00694DB2" w:rsidP="00DB6F0D">
            <w:pPr>
              <w:tabs>
                <w:tab w:val="decimal" w:pos="1034"/>
              </w:tabs>
              <w:rPr>
                <w:rFonts w:ascii="Times New Roman" w:hAnsi="Times New Roman" w:cs="Times New Roman"/>
              </w:rPr>
            </w:pPr>
            <w:r w:rsidRPr="00694DB2">
              <w:rPr>
                <w:rFonts w:ascii="Times New Roman" w:hAnsi="Times New Roman" w:cs="Times New Roman"/>
              </w:rPr>
              <w:t>48</w:t>
            </w:r>
          </w:p>
        </w:tc>
        <w:tc>
          <w:tcPr>
            <w:tcW w:w="2242" w:type="dxa"/>
            <w:tcBorders>
              <w:top w:val="nil"/>
              <w:left w:val="single" w:sz="4" w:space="0" w:color="auto"/>
              <w:bottom w:val="nil"/>
              <w:right w:val="single" w:sz="4" w:space="0" w:color="auto"/>
            </w:tcBorders>
          </w:tcPr>
          <w:p w14:paraId="1EE4ADDF" w14:textId="5E2105C7" w:rsidR="00694DB2" w:rsidRPr="00694DB2" w:rsidRDefault="00694DB2" w:rsidP="00DB6F0D">
            <w:pPr>
              <w:tabs>
                <w:tab w:val="decimal" w:pos="1115"/>
              </w:tabs>
              <w:rPr>
                <w:rFonts w:ascii="Times New Roman" w:hAnsi="Times New Roman" w:cs="Times New Roman"/>
              </w:rPr>
            </w:pPr>
            <w:r w:rsidRPr="00694DB2">
              <w:rPr>
                <w:rFonts w:ascii="Times New Roman" w:hAnsi="Times New Roman" w:cs="Times New Roman"/>
              </w:rPr>
              <w:t>100</w:t>
            </w:r>
          </w:p>
        </w:tc>
      </w:tr>
      <w:tr w:rsidR="00694DB2" w:rsidRPr="00B824AA" w14:paraId="39504C12" w14:textId="77777777" w:rsidTr="007C5F89">
        <w:tc>
          <w:tcPr>
            <w:tcW w:w="2486" w:type="dxa"/>
            <w:tcBorders>
              <w:top w:val="nil"/>
              <w:left w:val="single" w:sz="4" w:space="0" w:color="auto"/>
              <w:bottom w:val="nil"/>
              <w:right w:val="single" w:sz="4" w:space="0" w:color="auto"/>
            </w:tcBorders>
            <w:hideMark/>
          </w:tcPr>
          <w:p w14:paraId="004AE908" w14:textId="77777777" w:rsidR="00694DB2" w:rsidRPr="00B824AA" w:rsidRDefault="00694DB2"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54DA859D" w14:textId="33E7879F" w:rsidR="00694DB2" w:rsidRPr="00694DB2" w:rsidRDefault="00694DB2" w:rsidP="00DB6F0D">
            <w:pPr>
              <w:tabs>
                <w:tab w:val="decimal" w:pos="850"/>
              </w:tabs>
              <w:rPr>
                <w:rFonts w:ascii="Times New Roman" w:hAnsi="Times New Roman" w:cs="Times New Roman"/>
              </w:rPr>
            </w:pPr>
            <w:r w:rsidRPr="00694DB2">
              <w:rPr>
                <w:rFonts w:ascii="Times New Roman" w:hAnsi="Times New Roman" w:cs="Times New Roman"/>
              </w:rPr>
              <w:t>57</w:t>
            </w:r>
          </w:p>
        </w:tc>
        <w:tc>
          <w:tcPr>
            <w:tcW w:w="2103" w:type="dxa"/>
            <w:tcBorders>
              <w:top w:val="nil"/>
              <w:left w:val="single" w:sz="4" w:space="0" w:color="auto"/>
              <w:bottom w:val="nil"/>
              <w:right w:val="single" w:sz="4" w:space="0" w:color="auto"/>
            </w:tcBorders>
          </w:tcPr>
          <w:p w14:paraId="5E44AA3B" w14:textId="544AC0EB" w:rsidR="00694DB2" w:rsidRPr="00694DB2" w:rsidRDefault="00694DB2" w:rsidP="00DB6F0D">
            <w:pPr>
              <w:tabs>
                <w:tab w:val="decimal" w:pos="1034"/>
              </w:tabs>
              <w:rPr>
                <w:rFonts w:ascii="Times New Roman" w:hAnsi="Times New Roman" w:cs="Times New Roman"/>
              </w:rPr>
            </w:pPr>
            <w:r w:rsidRPr="00694DB2">
              <w:rPr>
                <w:rFonts w:ascii="Times New Roman" w:hAnsi="Times New Roman" w:cs="Times New Roman"/>
              </w:rPr>
              <w:t>53</w:t>
            </w:r>
          </w:p>
        </w:tc>
        <w:tc>
          <w:tcPr>
            <w:tcW w:w="2242" w:type="dxa"/>
            <w:tcBorders>
              <w:top w:val="nil"/>
              <w:left w:val="single" w:sz="4" w:space="0" w:color="auto"/>
              <w:bottom w:val="nil"/>
              <w:right w:val="single" w:sz="4" w:space="0" w:color="auto"/>
            </w:tcBorders>
          </w:tcPr>
          <w:p w14:paraId="0B438BA1" w14:textId="52D7CF43" w:rsidR="00694DB2" w:rsidRPr="00694DB2" w:rsidRDefault="00694DB2" w:rsidP="00DB6F0D">
            <w:pPr>
              <w:tabs>
                <w:tab w:val="decimal" w:pos="1115"/>
              </w:tabs>
              <w:rPr>
                <w:rFonts w:ascii="Times New Roman" w:hAnsi="Times New Roman" w:cs="Times New Roman"/>
              </w:rPr>
            </w:pPr>
            <w:r w:rsidRPr="00694DB2">
              <w:rPr>
                <w:rFonts w:ascii="Times New Roman" w:hAnsi="Times New Roman" w:cs="Times New Roman"/>
              </w:rPr>
              <w:t>105</w:t>
            </w:r>
          </w:p>
        </w:tc>
      </w:tr>
      <w:tr w:rsidR="00694DB2" w:rsidRPr="00B824AA" w14:paraId="7FC81C5A" w14:textId="77777777" w:rsidTr="007C5F89">
        <w:tc>
          <w:tcPr>
            <w:tcW w:w="2486" w:type="dxa"/>
            <w:tcBorders>
              <w:top w:val="nil"/>
              <w:left w:val="single" w:sz="4" w:space="0" w:color="auto"/>
              <w:bottom w:val="nil"/>
              <w:right w:val="single" w:sz="4" w:space="0" w:color="auto"/>
            </w:tcBorders>
            <w:hideMark/>
          </w:tcPr>
          <w:p w14:paraId="58832B4D" w14:textId="77777777" w:rsidR="00694DB2" w:rsidRPr="00B824AA" w:rsidRDefault="00694DB2"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3B20FDDE" w14:textId="3C3719A7" w:rsidR="00694DB2" w:rsidRPr="00694DB2" w:rsidRDefault="00694DB2" w:rsidP="00DB6F0D">
            <w:pPr>
              <w:tabs>
                <w:tab w:val="decimal" w:pos="850"/>
              </w:tabs>
              <w:rPr>
                <w:rFonts w:ascii="Times New Roman" w:hAnsi="Times New Roman" w:cs="Times New Roman"/>
              </w:rPr>
            </w:pPr>
            <w:r w:rsidRPr="00694DB2">
              <w:rPr>
                <w:rFonts w:ascii="Times New Roman" w:hAnsi="Times New Roman" w:cs="Times New Roman"/>
              </w:rPr>
              <w:t>60</w:t>
            </w:r>
          </w:p>
        </w:tc>
        <w:tc>
          <w:tcPr>
            <w:tcW w:w="2103" w:type="dxa"/>
            <w:tcBorders>
              <w:top w:val="nil"/>
              <w:left w:val="single" w:sz="4" w:space="0" w:color="auto"/>
              <w:bottom w:val="nil"/>
              <w:right w:val="single" w:sz="4" w:space="0" w:color="auto"/>
            </w:tcBorders>
          </w:tcPr>
          <w:p w14:paraId="7BB7FFC4" w14:textId="28DFED1E" w:rsidR="00694DB2" w:rsidRPr="00694DB2" w:rsidRDefault="00694DB2" w:rsidP="00DB6F0D">
            <w:pPr>
              <w:tabs>
                <w:tab w:val="decimal" w:pos="1034"/>
              </w:tabs>
              <w:rPr>
                <w:rFonts w:ascii="Times New Roman" w:hAnsi="Times New Roman" w:cs="Times New Roman"/>
              </w:rPr>
            </w:pPr>
            <w:r w:rsidRPr="00694DB2">
              <w:rPr>
                <w:rFonts w:ascii="Times New Roman" w:hAnsi="Times New Roman" w:cs="Times New Roman"/>
              </w:rPr>
              <w:t>55</w:t>
            </w:r>
          </w:p>
        </w:tc>
        <w:tc>
          <w:tcPr>
            <w:tcW w:w="2242" w:type="dxa"/>
            <w:tcBorders>
              <w:top w:val="nil"/>
              <w:left w:val="single" w:sz="4" w:space="0" w:color="auto"/>
              <w:bottom w:val="nil"/>
              <w:right w:val="single" w:sz="4" w:space="0" w:color="auto"/>
            </w:tcBorders>
          </w:tcPr>
          <w:p w14:paraId="5CDC0567" w14:textId="31985C62" w:rsidR="00694DB2" w:rsidRPr="00694DB2" w:rsidRDefault="00694DB2" w:rsidP="00DB6F0D">
            <w:pPr>
              <w:tabs>
                <w:tab w:val="decimal" w:pos="1115"/>
              </w:tabs>
              <w:rPr>
                <w:rFonts w:ascii="Times New Roman" w:hAnsi="Times New Roman" w:cs="Times New Roman"/>
              </w:rPr>
            </w:pPr>
            <w:r w:rsidRPr="00694DB2">
              <w:rPr>
                <w:rFonts w:ascii="Times New Roman" w:hAnsi="Times New Roman" w:cs="Times New Roman"/>
              </w:rPr>
              <w:t>108</w:t>
            </w:r>
          </w:p>
        </w:tc>
      </w:tr>
      <w:tr w:rsidR="00694DB2" w:rsidRPr="00B824AA" w14:paraId="2988ADE5" w14:textId="77777777" w:rsidTr="007C5F89">
        <w:tc>
          <w:tcPr>
            <w:tcW w:w="2486" w:type="dxa"/>
            <w:tcBorders>
              <w:top w:val="nil"/>
              <w:left w:val="single" w:sz="4" w:space="0" w:color="auto"/>
              <w:bottom w:val="nil"/>
              <w:right w:val="single" w:sz="4" w:space="0" w:color="auto"/>
            </w:tcBorders>
            <w:hideMark/>
          </w:tcPr>
          <w:p w14:paraId="3AF4A407" w14:textId="77777777" w:rsidR="00694DB2" w:rsidRPr="00B824AA" w:rsidRDefault="00694DB2"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564579C8" w14:textId="3D1CF631" w:rsidR="00694DB2" w:rsidRPr="00694DB2" w:rsidRDefault="00694DB2" w:rsidP="00DB6F0D">
            <w:pPr>
              <w:tabs>
                <w:tab w:val="decimal" w:pos="850"/>
              </w:tabs>
              <w:rPr>
                <w:rFonts w:ascii="Times New Roman" w:hAnsi="Times New Roman" w:cs="Times New Roman"/>
              </w:rPr>
            </w:pPr>
            <w:r w:rsidRPr="00694DB2">
              <w:rPr>
                <w:rFonts w:ascii="Times New Roman" w:hAnsi="Times New Roman" w:cs="Times New Roman"/>
              </w:rPr>
              <w:t>61</w:t>
            </w:r>
          </w:p>
        </w:tc>
        <w:tc>
          <w:tcPr>
            <w:tcW w:w="2103" w:type="dxa"/>
            <w:tcBorders>
              <w:top w:val="nil"/>
              <w:left w:val="single" w:sz="4" w:space="0" w:color="auto"/>
              <w:bottom w:val="nil"/>
              <w:right w:val="single" w:sz="4" w:space="0" w:color="auto"/>
            </w:tcBorders>
          </w:tcPr>
          <w:p w14:paraId="425DD44F" w14:textId="1B1D806F" w:rsidR="00694DB2" w:rsidRPr="00694DB2" w:rsidRDefault="00694DB2" w:rsidP="00DB6F0D">
            <w:pPr>
              <w:tabs>
                <w:tab w:val="decimal" w:pos="1034"/>
              </w:tabs>
              <w:rPr>
                <w:rFonts w:ascii="Times New Roman" w:hAnsi="Times New Roman" w:cs="Times New Roman"/>
              </w:rPr>
            </w:pPr>
            <w:r w:rsidRPr="00694DB2">
              <w:rPr>
                <w:rFonts w:ascii="Times New Roman" w:hAnsi="Times New Roman" w:cs="Times New Roman"/>
              </w:rPr>
              <w:t>56</w:t>
            </w:r>
          </w:p>
        </w:tc>
        <w:tc>
          <w:tcPr>
            <w:tcW w:w="2242" w:type="dxa"/>
            <w:tcBorders>
              <w:top w:val="nil"/>
              <w:left w:val="single" w:sz="4" w:space="0" w:color="auto"/>
              <w:bottom w:val="nil"/>
              <w:right w:val="single" w:sz="4" w:space="0" w:color="auto"/>
            </w:tcBorders>
          </w:tcPr>
          <w:p w14:paraId="24A6AEB2" w14:textId="55D4D281" w:rsidR="00694DB2" w:rsidRPr="00694DB2" w:rsidRDefault="00694DB2" w:rsidP="00DB6F0D">
            <w:pPr>
              <w:tabs>
                <w:tab w:val="decimal" w:pos="1115"/>
              </w:tabs>
              <w:rPr>
                <w:rFonts w:ascii="Times New Roman" w:hAnsi="Times New Roman" w:cs="Times New Roman"/>
              </w:rPr>
            </w:pPr>
            <w:r w:rsidRPr="00694DB2">
              <w:rPr>
                <w:rFonts w:ascii="Times New Roman" w:hAnsi="Times New Roman" w:cs="Times New Roman"/>
              </w:rPr>
              <w:t>108</w:t>
            </w:r>
          </w:p>
        </w:tc>
      </w:tr>
      <w:tr w:rsidR="00694DB2" w:rsidRPr="00B824AA" w14:paraId="619B7910" w14:textId="77777777" w:rsidTr="007C5F89">
        <w:tc>
          <w:tcPr>
            <w:tcW w:w="2486" w:type="dxa"/>
            <w:tcBorders>
              <w:top w:val="nil"/>
              <w:left w:val="single" w:sz="4" w:space="0" w:color="auto"/>
              <w:bottom w:val="nil"/>
              <w:right w:val="single" w:sz="4" w:space="0" w:color="auto"/>
            </w:tcBorders>
          </w:tcPr>
          <w:p w14:paraId="1C4841F1" w14:textId="24804B48" w:rsidR="00694DB2" w:rsidRPr="00B824AA" w:rsidRDefault="00694DB2" w:rsidP="00DB6F0D">
            <w:pPr>
              <w:rPr>
                <w:rFonts w:ascii="Times New Roman" w:hAnsi="Times New Roman" w:cs="Times New Roman"/>
              </w:rPr>
            </w:pPr>
            <w:r>
              <w:rPr>
                <w:rFonts w:ascii="Times New Roman" w:hAnsi="Times New Roman" w:cs="Times New Roman"/>
              </w:rPr>
              <w:t>2022</w:t>
            </w:r>
          </w:p>
        </w:tc>
        <w:tc>
          <w:tcPr>
            <w:tcW w:w="2096" w:type="dxa"/>
            <w:tcBorders>
              <w:top w:val="nil"/>
              <w:left w:val="single" w:sz="4" w:space="0" w:color="auto"/>
              <w:bottom w:val="nil"/>
              <w:right w:val="single" w:sz="4" w:space="0" w:color="auto"/>
            </w:tcBorders>
          </w:tcPr>
          <w:p w14:paraId="1B1680D7" w14:textId="609C70D5" w:rsidR="00694DB2" w:rsidRPr="00694DB2" w:rsidRDefault="00694DB2" w:rsidP="00DB6F0D">
            <w:pPr>
              <w:tabs>
                <w:tab w:val="decimal" w:pos="850"/>
              </w:tabs>
              <w:rPr>
                <w:rFonts w:ascii="Times New Roman" w:hAnsi="Times New Roman" w:cs="Times New Roman"/>
                <w:color w:val="000000"/>
              </w:rPr>
            </w:pPr>
            <w:r w:rsidRPr="00694DB2">
              <w:rPr>
                <w:rFonts w:ascii="Times New Roman" w:hAnsi="Times New Roman" w:cs="Times New Roman"/>
              </w:rPr>
              <w:t>56</w:t>
            </w:r>
          </w:p>
        </w:tc>
        <w:tc>
          <w:tcPr>
            <w:tcW w:w="2103" w:type="dxa"/>
            <w:tcBorders>
              <w:top w:val="nil"/>
              <w:left w:val="single" w:sz="4" w:space="0" w:color="auto"/>
              <w:bottom w:val="nil"/>
              <w:right w:val="single" w:sz="4" w:space="0" w:color="auto"/>
            </w:tcBorders>
          </w:tcPr>
          <w:p w14:paraId="49596AC2" w14:textId="6CA190A4" w:rsidR="00694DB2" w:rsidRPr="00694DB2" w:rsidRDefault="00694DB2" w:rsidP="00DB6F0D">
            <w:pPr>
              <w:tabs>
                <w:tab w:val="decimal" w:pos="1034"/>
              </w:tabs>
              <w:rPr>
                <w:rFonts w:ascii="Times New Roman" w:hAnsi="Times New Roman" w:cs="Times New Roman"/>
                <w:color w:val="000000"/>
              </w:rPr>
            </w:pPr>
            <w:r w:rsidRPr="00694DB2">
              <w:rPr>
                <w:rFonts w:ascii="Times New Roman" w:hAnsi="Times New Roman" w:cs="Times New Roman"/>
              </w:rPr>
              <w:t>50</w:t>
            </w:r>
          </w:p>
        </w:tc>
        <w:tc>
          <w:tcPr>
            <w:tcW w:w="2242" w:type="dxa"/>
            <w:tcBorders>
              <w:top w:val="nil"/>
              <w:left w:val="single" w:sz="4" w:space="0" w:color="auto"/>
              <w:bottom w:val="nil"/>
              <w:right w:val="single" w:sz="4" w:space="0" w:color="auto"/>
            </w:tcBorders>
          </w:tcPr>
          <w:p w14:paraId="0661663A" w14:textId="0D36C7B0" w:rsidR="00694DB2" w:rsidRPr="00694DB2" w:rsidRDefault="00694DB2" w:rsidP="00DB6F0D">
            <w:pPr>
              <w:tabs>
                <w:tab w:val="decimal" w:pos="1115"/>
              </w:tabs>
              <w:rPr>
                <w:rFonts w:ascii="Times New Roman" w:hAnsi="Times New Roman" w:cs="Times New Roman"/>
                <w:color w:val="000000"/>
              </w:rPr>
            </w:pPr>
            <w:r w:rsidRPr="00694DB2">
              <w:rPr>
                <w:rFonts w:ascii="Times New Roman" w:hAnsi="Times New Roman" w:cs="Times New Roman"/>
              </w:rPr>
              <w:t>102</w:t>
            </w:r>
          </w:p>
        </w:tc>
      </w:tr>
      <w:tr w:rsidR="009B4EAA" w:rsidRPr="00B824AA" w14:paraId="52B71174" w14:textId="77777777" w:rsidTr="00DB6F0D">
        <w:tc>
          <w:tcPr>
            <w:tcW w:w="2486" w:type="dxa"/>
            <w:tcBorders>
              <w:top w:val="nil"/>
              <w:left w:val="single" w:sz="4" w:space="0" w:color="auto"/>
              <w:bottom w:val="nil"/>
              <w:right w:val="single" w:sz="4" w:space="0" w:color="auto"/>
            </w:tcBorders>
            <w:hideMark/>
          </w:tcPr>
          <w:p w14:paraId="142AFD64" w14:textId="77777777" w:rsidR="006B777F" w:rsidRPr="00B824AA" w:rsidRDefault="006B777F" w:rsidP="00DB6F0D">
            <w:pPr>
              <w:rPr>
                <w:rFonts w:ascii="Times New Roman" w:hAnsi="Times New Roman" w:cs="Times New Roman"/>
              </w:rPr>
            </w:pPr>
          </w:p>
          <w:p w14:paraId="7B83EBC0" w14:textId="719249ED"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Transport i infrastruktura</w:t>
            </w:r>
          </w:p>
        </w:tc>
        <w:tc>
          <w:tcPr>
            <w:tcW w:w="2096" w:type="dxa"/>
            <w:tcBorders>
              <w:top w:val="nil"/>
              <w:left w:val="single" w:sz="4" w:space="0" w:color="auto"/>
              <w:bottom w:val="nil"/>
              <w:right w:val="single" w:sz="4" w:space="0" w:color="auto"/>
            </w:tcBorders>
          </w:tcPr>
          <w:p w14:paraId="0EF8227C"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604F9ABA"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68EFCDCD" w14:textId="77777777" w:rsidR="009B4EAA" w:rsidRPr="00B824AA" w:rsidRDefault="009B4EAA" w:rsidP="00DB6F0D">
            <w:pPr>
              <w:tabs>
                <w:tab w:val="decimal" w:pos="1115"/>
              </w:tabs>
              <w:rPr>
                <w:rFonts w:ascii="Times New Roman" w:hAnsi="Times New Roman" w:cs="Times New Roman"/>
              </w:rPr>
            </w:pPr>
          </w:p>
        </w:tc>
      </w:tr>
      <w:tr w:rsidR="00CB7F57" w:rsidRPr="00B824AA" w14:paraId="0E419C66" w14:textId="77777777" w:rsidTr="00F52D14">
        <w:tc>
          <w:tcPr>
            <w:tcW w:w="2486" w:type="dxa"/>
            <w:tcBorders>
              <w:top w:val="nil"/>
              <w:left w:val="single" w:sz="4" w:space="0" w:color="auto"/>
              <w:bottom w:val="nil"/>
              <w:right w:val="single" w:sz="4" w:space="0" w:color="auto"/>
            </w:tcBorders>
            <w:hideMark/>
          </w:tcPr>
          <w:p w14:paraId="54258321" w14:textId="77777777" w:rsidR="00CB7F57" w:rsidRPr="00B824AA" w:rsidRDefault="00CB7F57"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3E2469B9" w14:textId="05C06176" w:rsidR="00CB7F57" w:rsidRPr="00CB7F57" w:rsidRDefault="00CB7F57" w:rsidP="00DB6F0D">
            <w:pPr>
              <w:tabs>
                <w:tab w:val="decimal" w:pos="850"/>
              </w:tabs>
              <w:rPr>
                <w:rFonts w:ascii="Times New Roman" w:hAnsi="Times New Roman" w:cs="Times New Roman"/>
              </w:rPr>
            </w:pPr>
            <w:r w:rsidRPr="00CB7F57">
              <w:rPr>
                <w:rFonts w:ascii="Times New Roman" w:hAnsi="Times New Roman" w:cs="Times New Roman"/>
              </w:rPr>
              <w:t>60</w:t>
            </w:r>
          </w:p>
        </w:tc>
        <w:tc>
          <w:tcPr>
            <w:tcW w:w="2103" w:type="dxa"/>
            <w:tcBorders>
              <w:top w:val="nil"/>
              <w:left w:val="single" w:sz="4" w:space="0" w:color="auto"/>
              <w:bottom w:val="nil"/>
              <w:right w:val="single" w:sz="4" w:space="0" w:color="auto"/>
            </w:tcBorders>
          </w:tcPr>
          <w:p w14:paraId="15F8A4CB" w14:textId="40679BE6" w:rsidR="00CB7F57" w:rsidRPr="00CB7F57" w:rsidRDefault="00CB7F57" w:rsidP="00DB6F0D">
            <w:pPr>
              <w:tabs>
                <w:tab w:val="decimal" w:pos="1034"/>
              </w:tabs>
              <w:rPr>
                <w:rFonts w:ascii="Times New Roman" w:hAnsi="Times New Roman" w:cs="Times New Roman"/>
              </w:rPr>
            </w:pPr>
            <w:r w:rsidRPr="00CB7F57">
              <w:rPr>
                <w:rFonts w:ascii="Times New Roman" w:hAnsi="Times New Roman" w:cs="Times New Roman"/>
              </w:rPr>
              <w:t>64</w:t>
            </w:r>
          </w:p>
        </w:tc>
        <w:tc>
          <w:tcPr>
            <w:tcW w:w="2242" w:type="dxa"/>
            <w:tcBorders>
              <w:top w:val="nil"/>
              <w:left w:val="single" w:sz="4" w:space="0" w:color="auto"/>
              <w:bottom w:val="nil"/>
              <w:right w:val="single" w:sz="4" w:space="0" w:color="auto"/>
            </w:tcBorders>
          </w:tcPr>
          <w:p w14:paraId="7ED6B744" w14:textId="61D48A96" w:rsidR="00CB7F57" w:rsidRPr="00CB7F57" w:rsidRDefault="00CB7F57" w:rsidP="00DB6F0D">
            <w:pPr>
              <w:tabs>
                <w:tab w:val="decimal" w:pos="1115"/>
              </w:tabs>
              <w:rPr>
                <w:rFonts w:ascii="Times New Roman" w:hAnsi="Times New Roman" w:cs="Times New Roman"/>
              </w:rPr>
            </w:pPr>
            <w:r w:rsidRPr="00CB7F57">
              <w:rPr>
                <w:rFonts w:ascii="Times New Roman" w:hAnsi="Times New Roman" w:cs="Times New Roman"/>
              </w:rPr>
              <w:t>54</w:t>
            </w:r>
          </w:p>
        </w:tc>
      </w:tr>
      <w:tr w:rsidR="00CB7F57" w:rsidRPr="00B824AA" w14:paraId="7F666126" w14:textId="77777777" w:rsidTr="00F52D14">
        <w:tc>
          <w:tcPr>
            <w:tcW w:w="2486" w:type="dxa"/>
            <w:tcBorders>
              <w:top w:val="nil"/>
              <w:left w:val="single" w:sz="4" w:space="0" w:color="auto"/>
              <w:bottom w:val="nil"/>
              <w:right w:val="single" w:sz="4" w:space="0" w:color="auto"/>
            </w:tcBorders>
            <w:hideMark/>
          </w:tcPr>
          <w:p w14:paraId="0619AFBA" w14:textId="77777777" w:rsidR="00CB7F57" w:rsidRPr="00B824AA" w:rsidRDefault="00CB7F57"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22772EAA" w14:textId="31D59A00" w:rsidR="00CB7F57" w:rsidRPr="00CB7F57" w:rsidRDefault="00CB7F57" w:rsidP="00DB6F0D">
            <w:pPr>
              <w:tabs>
                <w:tab w:val="decimal" w:pos="850"/>
              </w:tabs>
              <w:rPr>
                <w:rFonts w:ascii="Times New Roman" w:hAnsi="Times New Roman" w:cs="Times New Roman"/>
              </w:rPr>
            </w:pPr>
            <w:r w:rsidRPr="00CB7F57">
              <w:rPr>
                <w:rFonts w:ascii="Times New Roman" w:hAnsi="Times New Roman" w:cs="Times New Roman"/>
              </w:rPr>
              <w:t>64</w:t>
            </w:r>
          </w:p>
        </w:tc>
        <w:tc>
          <w:tcPr>
            <w:tcW w:w="2103" w:type="dxa"/>
            <w:tcBorders>
              <w:top w:val="nil"/>
              <w:left w:val="single" w:sz="4" w:space="0" w:color="auto"/>
              <w:bottom w:val="nil"/>
              <w:right w:val="single" w:sz="4" w:space="0" w:color="auto"/>
            </w:tcBorders>
          </w:tcPr>
          <w:p w14:paraId="5145FD28" w14:textId="6A81AEFD" w:rsidR="00CB7F57" w:rsidRPr="00CB7F57" w:rsidRDefault="00CB7F57" w:rsidP="00DB6F0D">
            <w:pPr>
              <w:tabs>
                <w:tab w:val="decimal" w:pos="1034"/>
              </w:tabs>
              <w:rPr>
                <w:rFonts w:ascii="Times New Roman" w:hAnsi="Times New Roman" w:cs="Times New Roman"/>
              </w:rPr>
            </w:pPr>
            <w:r w:rsidRPr="00CB7F57">
              <w:rPr>
                <w:rFonts w:ascii="Times New Roman" w:hAnsi="Times New Roman" w:cs="Times New Roman"/>
              </w:rPr>
              <w:t>66</w:t>
            </w:r>
          </w:p>
        </w:tc>
        <w:tc>
          <w:tcPr>
            <w:tcW w:w="2242" w:type="dxa"/>
            <w:tcBorders>
              <w:top w:val="nil"/>
              <w:left w:val="single" w:sz="4" w:space="0" w:color="auto"/>
              <w:bottom w:val="nil"/>
              <w:right w:val="single" w:sz="4" w:space="0" w:color="auto"/>
            </w:tcBorders>
          </w:tcPr>
          <w:p w14:paraId="050DD9BA" w14:textId="0C231A92" w:rsidR="00CB7F57" w:rsidRPr="00CB7F57" w:rsidRDefault="00CB7F57" w:rsidP="00DB6F0D">
            <w:pPr>
              <w:tabs>
                <w:tab w:val="decimal" w:pos="1115"/>
              </w:tabs>
              <w:rPr>
                <w:rFonts w:ascii="Times New Roman" w:hAnsi="Times New Roman" w:cs="Times New Roman"/>
              </w:rPr>
            </w:pPr>
            <w:r w:rsidRPr="00CB7F57">
              <w:rPr>
                <w:rFonts w:ascii="Times New Roman" w:hAnsi="Times New Roman" w:cs="Times New Roman"/>
              </w:rPr>
              <w:t>61</w:t>
            </w:r>
          </w:p>
        </w:tc>
      </w:tr>
      <w:tr w:rsidR="00CB7F57" w:rsidRPr="00B824AA" w14:paraId="4993AD34" w14:textId="77777777" w:rsidTr="00F52D14">
        <w:tc>
          <w:tcPr>
            <w:tcW w:w="2486" w:type="dxa"/>
            <w:tcBorders>
              <w:top w:val="nil"/>
              <w:left w:val="single" w:sz="4" w:space="0" w:color="auto"/>
              <w:bottom w:val="nil"/>
              <w:right w:val="single" w:sz="4" w:space="0" w:color="auto"/>
            </w:tcBorders>
            <w:hideMark/>
          </w:tcPr>
          <w:p w14:paraId="15A9F1EF" w14:textId="77777777" w:rsidR="00CB7F57" w:rsidRPr="00B824AA" w:rsidRDefault="00CB7F57" w:rsidP="00DB6F0D">
            <w:pPr>
              <w:rPr>
                <w:rFonts w:ascii="Times New Roman" w:hAnsi="Times New Roman" w:cs="Times New Roman"/>
                <w:sz w:val="24"/>
                <w:szCs w:val="24"/>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33B30C81" w14:textId="39BF13C7" w:rsidR="00CB7F57" w:rsidRPr="00CB7F57" w:rsidRDefault="00CB7F57" w:rsidP="00DB6F0D">
            <w:pPr>
              <w:tabs>
                <w:tab w:val="decimal" w:pos="850"/>
              </w:tabs>
              <w:rPr>
                <w:rFonts w:ascii="Times New Roman" w:hAnsi="Times New Roman" w:cs="Times New Roman"/>
              </w:rPr>
            </w:pPr>
            <w:r w:rsidRPr="00CB7F57">
              <w:rPr>
                <w:rFonts w:ascii="Times New Roman" w:hAnsi="Times New Roman" w:cs="Times New Roman"/>
              </w:rPr>
              <w:t>76</w:t>
            </w:r>
          </w:p>
        </w:tc>
        <w:tc>
          <w:tcPr>
            <w:tcW w:w="2103" w:type="dxa"/>
            <w:tcBorders>
              <w:top w:val="nil"/>
              <w:left w:val="single" w:sz="4" w:space="0" w:color="auto"/>
              <w:bottom w:val="nil"/>
              <w:right w:val="single" w:sz="4" w:space="0" w:color="auto"/>
            </w:tcBorders>
          </w:tcPr>
          <w:p w14:paraId="76F390EB" w14:textId="726690BB" w:rsidR="00CB7F57" w:rsidRPr="00CB7F57" w:rsidRDefault="00CB7F57" w:rsidP="00DB6F0D">
            <w:pPr>
              <w:tabs>
                <w:tab w:val="decimal" w:pos="1034"/>
              </w:tabs>
              <w:rPr>
                <w:rFonts w:ascii="Times New Roman" w:hAnsi="Times New Roman" w:cs="Times New Roman"/>
              </w:rPr>
            </w:pPr>
            <w:r w:rsidRPr="00CB7F57">
              <w:rPr>
                <w:rFonts w:ascii="Times New Roman" w:hAnsi="Times New Roman" w:cs="Times New Roman"/>
              </w:rPr>
              <w:t>77</w:t>
            </w:r>
          </w:p>
        </w:tc>
        <w:tc>
          <w:tcPr>
            <w:tcW w:w="2242" w:type="dxa"/>
            <w:tcBorders>
              <w:top w:val="nil"/>
              <w:left w:val="single" w:sz="4" w:space="0" w:color="auto"/>
              <w:bottom w:val="nil"/>
              <w:right w:val="single" w:sz="4" w:space="0" w:color="auto"/>
            </w:tcBorders>
          </w:tcPr>
          <w:p w14:paraId="790B8253" w14:textId="63CB5529" w:rsidR="00CB7F57" w:rsidRPr="00CB7F57" w:rsidRDefault="00CB7F57" w:rsidP="00DB6F0D">
            <w:pPr>
              <w:tabs>
                <w:tab w:val="decimal" w:pos="1115"/>
              </w:tabs>
              <w:rPr>
                <w:rFonts w:ascii="Times New Roman" w:hAnsi="Times New Roman" w:cs="Times New Roman"/>
              </w:rPr>
            </w:pPr>
            <w:r w:rsidRPr="00CB7F57">
              <w:rPr>
                <w:rFonts w:ascii="Times New Roman" w:hAnsi="Times New Roman" w:cs="Times New Roman"/>
              </w:rPr>
              <w:t>78</w:t>
            </w:r>
          </w:p>
        </w:tc>
      </w:tr>
      <w:tr w:rsidR="00CB7F57" w:rsidRPr="00B824AA" w14:paraId="16D44511" w14:textId="77777777" w:rsidTr="00F52D14">
        <w:tc>
          <w:tcPr>
            <w:tcW w:w="2486" w:type="dxa"/>
            <w:tcBorders>
              <w:top w:val="nil"/>
              <w:left w:val="single" w:sz="4" w:space="0" w:color="auto"/>
              <w:bottom w:val="nil"/>
              <w:right w:val="single" w:sz="4" w:space="0" w:color="auto"/>
            </w:tcBorders>
            <w:hideMark/>
          </w:tcPr>
          <w:p w14:paraId="416871E4" w14:textId="77777777" w:rsidR="00CB7F57" w:rsidRPr="00B824AA" w:rsidRDefault="00CB7F57" w:rsidP="00DB6F0D">
            <w:pPr>
              <w:rPr>
                <w:rFonts w:ascii="Times New Roman" w:hAnsi="Times New Roman" w:cs="Times New Roman"/>
              </w:rPr>
            </w:pPr>
            <w:r w:rsidRPr="00B824AA">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5EE6150A" w14:textId="0A8EF012" w:rsidR="00CB7F57" w:rsidRPr="00CB7F57" w:rsidRDefault="00CB7F57" w:rsidP="00DB6F0D">
            <w:pPr>
              <w:tabs>
                <w:tab w:val="decimal" w:pos="850"/>
              </w:tabs>
              <w:rPr>
                <w:rFonts w:ascii="Times New Roman" w:hAnsi="Times New Roman" w:cs="Times New Roman"/>
              </w:rPr>
            </w:pPr>
            <w:r w:rsidRPr="00CB7F57">
              <w:rPr>
                <w:rFonts w:ascii="Times New Roman" w:hAnsi="Times New Roman" w:cs="Times New Roman"/>
              </w:rPr>
              <w:t>67</w:t>
            </w:r>
          </w:p>
        </w:tc>
        <w:tc>
          <w:tcPr>
            <w:tcW w:w="2103" w:type="dxa"/>
            <w:tcBorders>
              <w:top w:val="nil"/>
              <w:left w:val="single" w:sz="4" w:space="0" w:color="auto"/>
              <w:bottom w:val="nil"/>
              <w:right w:val="single" w:sz="4" w:space="0" w:color="auto"/>
            </w:tcBorders>
          </w:tcPr>
          <w:p w14:paraId="3BC1F8F9" w14:textId="289CA4C7" w:rsidR="00CB7F57" w:rsidRPr="00CB7F57" w:rsidRDefault="00CB7F57" w:rsidP="00DB6F0D">
            <w:pPr>
              <w:tabs>
                <w:tab w:val="decimal" w:pos="1034"/>
              </w:tabs>
              <w:rPr>
                <w:rFonts w:ascii="Times New Roman" w:hAnsi="Times New Roman" w:cs="Times New Roman"/>
              </w:rPr>
            </w:pPr>
            <w:r w:rsidRPr="00CB7F57">
              <w:rPr>
                <w:rFonts w:ascii="Times New Roman" w:hAnsi="Times New Roman" w:cs="Times New Roman"/>
              </w:rPr>
              <w:t>65</w:t>
            </w:r>
          </w:p>
        </w:tc>
        <w:tc>
          <w:tcPr>
            <w:tcW w:w="2242" w:type="dxa"/>
            <w:tcBorders>
              <w:top w:val="nil"/>
              <w:left w:val="single" w:sz="4" w:space="0" w:color="auto"/>
              <w:bottom w:val="nil"/>
              <w:right w:val="single" w:sz="4" w:space="0" w:color="auto"/>
            </w:tcBorders>
          </w:tcPr>
          <w:p w14:paraId="1B794838" w14:textId="1C6A2FA6" w:rsidR="00CB7F57" w:rsidRPr="00CB7F57" w:rsidRDefault="00CB7F57" w:rsidP="00DB6F0D">
            <w:pPr>
              <w:tabs>
                <w:tab w:val="decimal" w:pos="1115"/>
              </w:tabs>
              <w:rPr>
                <w:rFonts w:ascii="Times New Roman" w:hAnsi="Times New Roman" w:cs="Times New Roman"/>
              </w:rPr>
            </w:pPr>
            <w:r w:rsidRPr="00CB7F57">
              <w:rPr>
                <w:rFonts w:ascii="Times New Roman" w:hAnsi="Times New Roman" w:cs="Times New Roman"/>
              </w:rPr>
              <w:t>76</w:t>
            </w:r>
          </w:p>
        </w:tc>
      </w:tr>
      <w:tr w:rsidR="00CB7F57" w:rsidRPr="00B824AA" w14:paraId="5CB369CB" w14:textId="77777777" w:rsidTr="00F52D14">
        <w:tc>
          <w:tcPr>
            <w:tcW w:w="2486" w:type="dxa"/>
            <w:tcBorders>
              <w:top w:val="nil"/>
              <w:left w:val="single" w:sz="4" w:space="0" w:color="auto"/>
              <w:bottom w:val="nil"/>
              <w:right w:val="single" w:sz="4" w:space="0" w:color="auto"/>
            </w:tcBorders>
          </w:tcPr>
          <w:p w14:paraId="67DC455A" w14:textId="6725E4B2" w:rsidR="00CB7F57" w:rsidRPr="00B824AA" w:rsidRDefault="00CB7F57" w:rsidP="0031470A">
            <w:pPr>
              <w:rPr>
                <w:rFonts w:ascii="Times New Roman" w:hAnsi="Times New Roman" w:cs="Times New Roman"/>
              </w:rPr>
            </w:pPr>
            <w:r>
              <w:rPr>
                <w:rFonts w:ascii="Times New Roman" w:hAnsi="Times New Roman" w:cs="Times New Roman"/>
              </w:rPr>
              <w:t>2022</w:t>
            </w:r>
          </w:p>
        </w:tc>
        <w:tc>
          <w:tcPr>
            <w:tcW w:w="2096" w:type="dxa"/>
            <w:tcBorders>
              <w:top w:val="nil"/>
              <w:left w:val="single" w:sz="4" w:space="0" w:color="auto"/>
              <w:bottom w:val="nil"/>
              <w:right w:val="single" w:sz="4" w:space="0" w:color="auto"/>
            </w:tcBorders>
          </w:tcPr>
          <w:p w14:paraId="085D8B34" w14:textId="30B2C67A" w:rsidR="00CB7F57" w:rsidRPr="00CB7F57" w:rsidRDefault="00CB7F57" w:rsidP="00DB6F0D">
            <w:pPr>
              <w:tabs>
                <w:tab w:val="decimal" w:pos="850"/>
              </w:tabs>
              <w:rPr>
                <w:rFonts w:ascii="Times New Roman" w:hAnsi="Times New Roman" w:cs="Times New Roman"/>
                <w:color w:val="000000"/>
              </w:rPr>
            </w:pPr>
            <w:r w:rsidRPr="00CB7F57">
              <w:rPr>
                <w:rFonts w:ascii="Times New Roman" w:hAnsi="Times New Roman" w:cs="Times New Roman"/>
              </w:rPr>
              <w:t>68</w:t>
            </w:r>
          </w:p>
        </w:tc>
        <w:tc>
          <w:tcPr>
            <w:tcW w:w="2103" w:type="dxa"/>
            <w:tcBorders>
              <w:top w:val="nil"/>
              <w:left w:val="single" w:sz="4" w:space="0" w:color="auto"/>
              <w:bottom w:val="nil"/>
              <w:right w:val="single" w:sz="4" w:space="0" w:color="auto"/>
            </w:tcBorders>
          </w:tcPr>
          <w:p w14:paraId="07B206E3" w14:textId="5575019F" w:rsidR="00CB7F57" w:rsidRPr="00CB7F57" w:rsidRDefault="00CB7F57" w:rsidP="00DB6F0D">
            <w:pPr>
              <w:tabs>
                <w:tab w:val="decimal" w:pos="1034"/>
              </w:tabs>
              <w:rPr>
                <w:rFonts w:ascii="Times New Roman" w:hAnsi="Times New Roman" w:cs="Times New Roman"/>
                <w:color w:val="000000"/>
              </w:rPr>
            </w:pPr>
            <w:r w:rsidRPr="00CB7F57">
              <w:rPr>
                <w:rFonts w:ascii="Times New Roman" w:hAnsi="Times New Roman" w:cs="Times New Roman"/>
              </w:rPr>
              <w:t>66</w:t>
            </w:r>
          </w:p>
        </w:tc>
        <w:tc>
          <w:tcPr>
            <w:tcW w:w="2242" w:type="dxa"/>
            <w:tcBorders>
              <w:top w:val="nil"/>
              <w:left w:val="single" w:sz="4" w:space="0" w:color="auto"/>
              <w:bottom w:val="nil"/>
              <w:right w:val="single" w:sz="4" w:space="0" w:color="auto"/>
            </w:tcBorders>
          </w:tcPr>
          <w:p w14:paraId="53BEE065" w14:textId="04CC1FA9" w:rsidR="00CB7F57" w:rsidRPr="00CB7F57" w:rsidRDefault="00CB7F57" w:rsidP="00DB6F0D">
            <w:pPr>
              <w:tabs>
                <w:tab w:val="decimal" w:pos="1115"/>
              </w:tabs>
              <w:rPr>
                <w:rFonts w:ascii="Times New Roman" w:hAnsi="Times New Roman" w:cs="Times New Roman"/>
                <w:color w:val="000000"/>
              </w:rPr>
            </w:pPr>
            <w:r w:rsidRPr="00CB7F57">
              <w:rPr>
                <w:rFonts w:ascii="Times New Roman" w:hAnsi="Times New Roman" w:cs="Times New Roman"/>
              </w:rPr>
              <w:t>78</w:t>
            </w:r>
          </w:p>
        </w:tc>
      </w:tr>
      <w:tr w:rsidR="009B4EAA" w:rsidRPr="00B824AA" w14:paraId="5D6B8DF1" w14:textId="77777777" w:rsidTr="00DB6F0D">
        <w:tc>
          <w:tcPr>
            <w:tcW w:w="2486" w:type="dxa"/>
            <w:tcBorders>
              <w:top w:val="nil"/>
              <w:left w:val="single" w:sz="4" w:space="0" w:color="auto"/>
              <w:bottom w:val="nil"/>
              <w:right w:val="single" w:sz="4" w:space="0" w:color="auto"/>
            </w:tcBorders>
            <w:hideMark/>
          </w:tcPr>
          <w:p w14:paraId="6533EEB7" w14:textId="77777777" w:rsidR="006B777F" w:rsidRPr="00B824AA" w:rsidRDefault="006B777F" w:rsidP="00DB6F0D">
            <w:pPr>
              <w:rPr>
                <w:rFonts w:ascii="Times New Roman" w:hAnsi="Times New Roman" w:cs="Times New Roman"/>
              </w:rPr>
            </w:pPr>
          </w:p>
          <w:p w14:paraId="686A63E8" w14:textId="50479535" w:rsidR="009B4EAA" w:rsidRPr="00B824AA" w:rsidRDefault="009B4EAA" w:rsidP="00DB6F0D">
            <w:pPr>
              <w:rPr>
                <w:rFonts w:ascii="Times New Roman" w:hAnsi="Times New Roman" w:cs="Times New Roman"/>
                <w:sz w:val="24"/>
                <w:szCs w:val="24"/>
              </w:rPr>
            </w:pPr>
            <w:r w:rsidRPr="00B824AA">
              <w:rPr>
                <w:rFonts w:ascii="Times New Roman" w:hAnsi="Times New Roman" w:cs="Times New Roman"/>
              </w:rPr>
              <w:t>Ochrona środowiska</w:t>
            </w:r>
          </w:p>
        </w:tc>
        <w:tc>
          <w:tcPr>
            <w:tcW w:w="2096" w:type="dxa"/>
            <w:tcBorders>
              <w:top w:val="nil"/>
              <w:left w:val="single" w:sz="4" w:space="0" w:color="auto"/>
              <w:bottom w:val="nil"/>
              <w:right w:val="single" w:sz="4" w:space="0" w:color="auto"/>
            </w:tcBorders>
          </w:tcPr>
          <w:p w14:paraId="5487A71A" w14:textId="77777777" w:rsidR="009B4EAA" w:rsidRPr="00B824AA" w:rsidRDefault="009B4EAA" w:rsidP="00DB6F0D">
            <w:pPr>
              <w:tabs>
                <w:tab w:val="decimal" w:pos="850"/>
              </w:tabs>
              <w:rPr>
                <w:rFonts w:ascii="Times New Roman" w:hAnsi="Times New Roman" w:cs="Times New Roman"/>
              </w:rPr>
            </w:pPr>
          </w:p>
        </w:tc>
        <w:tc>
          <w:tcPr>
            <w:tcW w:w="2103" w:type="dxa"/>
            <w:tcBorders>
              <w:top w:val="nil"/>
              <w:left w:val="single" w:sz="4" w:space="0" w:color="auto"/>
              <w:bottom w:val="nil"/>
              <w:right w:val="single" w:sz="4" w:space="0" w:color="auto"/>
            </w:tcBorders>
          </w:tcPr>
          <w:p w14:paraId="732278E4" w14:textId="77777777" w:rsidR="009B4EAA" w:rsidRPr="00B824AA" w:rsidRDefault="009B4EAA" w:rsidP="00DB6F0D">
            <w:pPr>
              <w:tabs>
                <w:tab w:val="decimal" w:pos="1034"/>
              </w:tabs>
              <w:rPr>
                <w:rFonts w:ascii="Times New Roman" w:hAnsi="Times New Roman" w:cs="Times New Roman"/>
              </w:rPr>
            </w:pPr>
          </w:p>
        </w:tc>
        <w:tc>
          <w:tcPr>
            <w:tcW w:w="2242" w:type="dxa"/>
            <w:tcBorders>
              <w:top w:val="nil"/>
              <w:left w:val="single" w:sz="4" w:space="0" w:color="auto"/>
              <w:bottom w:val="nil"/>
              <w:right w:val="single" w:sz="4" w:space="0" w:color="auto"/>
            </w:tcBorders>
          </w:tcPr>
          <w:p w14:paraId="0C84CAFA" w14:textId="77777777" w:rsidR="009B4EAA" w:rsidRPr="00B824AA" w:rsidRDefault="009B4EAA" w:rsidP="00DB6F0D">
            <w:pPr>
              <w:tabs>
                <w:tab w:val="decimal" w:pos="1115"/>
              </w:tabs>
              <w:rPr>
                <w:rFonts w:ascii="Times New Roman" w:hAnsi="Times New Roman" w:cs="Times New Roman"/>
              </w:rPr>
            </w:pPr>
          </w:p>
        </w:tc>
      </w:tr>
      <w:tr w:rsidR="00C016AC" w:rsidRPr="00B824AA" w14:paraId="38D8DF9A" w14:textId="77777777" w:rsidTr="00DD59E5">
        <w:tc>
          <w:tcPr>
            <w:tcW w:w="2486" w:type="dxa"/>
            <w:tcBorders>
              <w:top w:val="nil"/>
              <w:left w:val="single" w:sz="4" w:space="0" w:color="auto"/>
              <w:bottom w:val="nil"/>
              <w:right w:val="single" w:sz="4" w:space="0" w:color="auto"/>
            </w:tcBorders>
            <w:hideMark/>
          </w:tcPr>
          <w:p w14:paraId="02314E71" w14:textId="77777777" w:rsidR="00C016AC" w:rsidRPr="00B824AA" w:rsidRDefault="00C016AC" w:rsidP="00DB6F0D">
            <w:pPr>
              <w:rPr>
                <w:rFonts w:ascii="Times New Roman" w:hAnsi="Times New Roman" w:cs="Times New Roman"/>
                <w:sz w:val="24"/>
                <w:szCs w:val="24"/>
              </w:rPr>
            </w:pPr>
            <w:r w:rsidRPr="00B824AA">
              <w:rPr>
                <w:rFonts w:ascii="Times New Roman" w:hAnsi="Times New Roman" w:cs="Times New Roman"/>
              </w:rPr>
              <w:t>2010</w:t>
            </w:r>
          </w:p>
        </w:tc>
        <w:tc>
          <w:tcPr>
            <w:tcW w:w="2096" w:type="dxa"/>
            <w:tcBorders>
              <w:top w:val="nil"/>
              <w:left w:val="single" w:sz="4" w:space="0" w:color="auto"/>
              <w:bottom w:val="nil"/>
              <w:right w:val="single" w:sz="4" w:space="0" w:color="auto"/>
            </w:tcBorders>
          </w:tcPr>
          <w:p w14:paraId="389AEA24" w14:textId="010F83F1" w:rsidR="00C016AC" w:rsidRPr="00C016AC" w:rsidRDefault="00C016AC" w:rsidP="00DB6F0D">
            <w:pPr>
              <w:tabs>
                <w:tab w:val="decimal" w:pos="850"/>
              </w:tabs>
              <w:rPr>
                <w:rFonts w:ascii="Times New Roman" w:hAnsi="Times New Roman" w:cs="Times New Roman"/>
              </w:rPr>
            </w:pPr>
            <w:r w:rsidRPr="00C016AC">
              <w:rPr>
                <w:rFonts w:ascii="Times New Roman" w:hAnsi="Times New Roman" w:cs="Times New Roman"/>
              </w:rPr>
              <w:t>71</w:t>
            </w:r>
          </w:p>
        </w:tc>
        <w:tc>
          <w:tcPr>
            <w:tcW w:w="2103" w:type="dxa"/>
            <w:tcBorders>
              <w:top w:val="nil"/>
              <w:left w:val="single" w:sz="4" w:space="0" w:color="auto"/>
              <w:bottom w:val="nil"/>
              <w:right w:val="single" w:sz="4" w:space="0" w:color="auto"/>
            </w:tcBorders>
          </w:tcPr>
          <w:p w14:paraId="2A153D8D" w14:textId="4B45634E" w:rsidR="00C016AC" w:rsidRPr="00C016AC" w:rsidRDefault="00C016AC" w:rsidP="00DB6F0D">
            <w:pPr>
              <w:tabs>
                <w:tab w:val="decimal" w:pos="1034"/>
              </w:tabs>
              <w:rPr>
                <w:rFonts w:ascii="Times New Roman" w:hAnsi="Times New Roman" w:cs="Times New Roman"/>
              </w:rPr>
            </w:pPr>
            <w:r w:rsidRPr="00C016AC">
              <w:rPr>
                <w:rFonts w:ascii="Times New Roman" w:hAnsi="Times New Roman" w:cs="Times New Roman"/>
              </w:rPr>
              <w:t>69</w:t>
            </w:r>
          </w:p>
        </w:tc>
        <w:tc>
          <w:tcPr>
            <w:tcW w:w="2242" w:type="dxa"/>
            <w:tcBorders>
              <w:top w:val="nil"/>
              <w:left w:val="single" w:sz="4" w:space="0" w:color="auto"/>
              <w:bottom w:val="nil"/>
              <w:right w:val="single" w:sz="4" w:space="0" w:color="auto"/>
            </w:tcBorders>
          </w:tcPr>
          <w:p w14:paraId="0BE705DE" w14:textId="3FFF8E5D" w:rsidR="00C016AC" w:rsidRPr="00C016AC" w:rsidRDefault="00C016AC" w:rsidP="00DB6F0D">
            <w:pPr>
              <w:tabs>
                <w:tab w:val="decimal" w:pos="1115"/>
              </w:tabs>
              <w:rPr>
                <w:rFonts w:ascii="Times New Roman" w:hAnsi="Times New Roman" w:cs="Times New Roman"/>
              </w:rPr>
            </w:pPr>
            <w:r w:rsidRPr="00C016AC">
              <w:rPr>
                <w:rFonts w:ascii="Times New Roman" w:hAnsi="Times New Roman" w:cs="Times New Roman"/>
              </w:rPr>
              <w:t>90</w:t>
            </w:r>
          </w:p>
        </w:tc>
      </w:tr>
      <w:tr w:rsidR="00C016AC" w:rsidRPr="00B824AA" w14:paraId="4BA15966" w14:textId="77777777" w:rsidTr="00DD59E5">
        <w:tc>
          <w:tcPr>
            <w:tcW w:w="2486" w:type="dxa"/>
            <w:tcBorders>
              <w:top w:val="nil"/>
              <w:left w:val="single" w:sz="4" w:space="0" w:color="auto"/>
              <w:bottom w:val="nil"/>
              <w:right w:val="single" w:sz="4" w:space="0" w:color="auto"/>
            </w:tcBorders>
            <w:hideMark/>
          </w:tcPr>
          <w:p w14:paraId="7306FB7F" w14:textId="77777777" w:rsidR="00C016AC" w:rsidRPr="00B824AA" w:rsidRDefault="00C016AC" w:rsidP="00DB6F0D">
            <w:pPr>
              <w:rPr>
                <w:rFonts w:ascii="Times New Roman" w:hAnsi="Times New Roman" w:cs="Times New Roman"/>
                <w:sz w:val="24"/>
                <w:szCs w:val="24"/>
              </w:rPr>
            </w:pPr>
            <w:r w:rsidRPr="00B824AA">
              <w:rPr>
                <w:rFonts w:ascii="Times New Roman" w:hAnsi="Times New Roman" w:cs="Times New Roman"/>
              </w:rPr>
              <w:t>2015</w:t>
            </w:r>
          </w:p>
        </w:tc>
        <w:tc>
          <w:tcPr>
            <w:tcW w:w="2096" w:type="dxa"/>
            <w:tcBorders>
              <w:top w:val="nil"/>
              <w:left w:val="single" w:sz="4" w:space="0" w:color="auto"/>
              <w:bottom w:val="nil"/>
              <w:right w:val="single" w:sz="4" w:space="0" w:color="auto"/>
            </w:tcBorders>
          </w:tcPr>
          <w:p w14:paraId="6DEB2E32" w14:textId="4A0561B9" w:rsidR="00C016AC" w:rsidRPr="00C016AC" w:rsidRDefault="00C016AC" w:rsidP="00DB6F0D">
            <w:pPr>
              <w:tabs>
                <w:tab w:val="decimal" w:pos="850"/>
              </w:tabs>
              <w:rPr>
                <w:rFonts w:ascii="Times New Roman" w:hAnsi="Times New Roman" w:cs="Times New Roman"/>
              </w:rPr>
            </w:pPr>
            <w:r w:rsidRPr="00C016AC">
              <w:rPr>
                <w:rFonts w:ascii="Times New Roman" w:hAnsi="Times New Roman" w:cs="Times New Roman"/>
              </w:rPr>
              <w:t>71</w:t>
            </w:r>
          </w:p>
        </w:tc>
        <w:tc>
          <w:tcPr>
            <w:tcW w:w="2103" w:type="dxa"/>
            <w:tcBorders>
              <w:top w:val="nil"/>
              <w:left w:val="single" w:sz="4" w:space="0" w:color="auto"/>
              <w:bottom w:val="nil"/>
              <w:right w:val="single" w:sz="4" w:space="0" w:color="auto"/>
            </w:tcBorders>
          </w:tcPr>
          <w:p w14:paraId="72582621" w14:textId="4B82CB2D" w:rsidR="00C016AC" w:rsidRPr="00C016AC" w:rsidRDefault="00C016AC" w:rsidP="00DB6F0D">
            <w:pPr>
              <w:tabs>
                <w:tab w:val="decimal" w:pos="1034"/>
              </w:tabs>
              <w:rPr>
                <w:rFonts w:ascii="Times New Roman" w:hAnsi="Times New Roman" w:cs="Times New Roman"/>
              </w:rPr>
            </w:pPr>
            <w:r w:rsidRPr="00C016AC">
              <w:rPr>
                <w:rFonts w:ascii="Times New Roman" w:hAnsi="Times New Roman" w:cs="Times New Roman"/>
              </w:rPr>
              <w:t>68</w:t>
            </w:r>
          </w:p>
        </w:tc>
        <w:tc>
          <w:tcPr>
            <w:tcW w:w="2242" w:type="dxa"/>
            <w:tcBorders>
              <w:top w:val="nil"/>
              <w:left w:val="single" w:sz="4" w:space="0" w:color="auto"/>
              <w:bottom w:val="nil"/>
              <w:right w:val="single" w:sz="4" w:space="0" w:color="auto"/>
            </w:tcBorders>
          </w:tcPr>
          <w:p w14:paraId="3ABBA478" w14:textId="73B9566F" w:rsidR="00C016AC" w:rsidRPr="00C016AC" w:rsidRDefault="00C016AC" w:rsidP="00DB6F0D">
            <w:pPr>
              <w:tabs>
                <w:tab w:val="decimal" w:pos="1115"/>
              </w:tabs>
              <w:rPr>
                <w:rFonts w:ascii="Times New Roman" w:hAnsi="Times New Roman" w:cs="Times New Roman"/>
              </w:rPr>
            </w:pPr>
            <w:r w:rsidRPr="00C016AC">
              <w:rPr>
                <w:rFonts w:ascii="Times New Roman" w:hAnsi="Times New Roman" w:cs="Times New Roman"/>
              </w:rPr>
              <w:t>93</w:t>
            </w:r>
          </w:p>
        </w:tc>
      </w:tr>
      <w:tr w:rsidR="00C016AC" w:rsidRPr="00B824AA" w14:paraId="3E2E26CA" w14:textId="77777777" w:rsidTr="00DD59E5">
        <w:tc>
          <w:tcPr>
            <w:tcW w:w="2486" w:type="dxa"/>
            <w:tcBorders>
              <w:top w:val="nil"/>
              <w:left w:val="single" w:sz="4" w:space="0" w:color="auto"/>
              <w:bottom w:val="nil"/>
              <w:right w:val="single" w:sz="4" w:space="0" w:color="auto"/>
            </w:tcBorders>
            <w:hideMark/>
          </w:tcPr>
          <w:p w14:paraId="07EF74AD" w14:textId="77777777" w:rsidR="00C016AC" w:rsidRPr="00B824AA" w:rsidRDefault="00C016AC" w:rsidP="00DB6F0D">
            <w:pPr>
              <w:rPr>
                <w:rFonts w:ascii="Times New Roman" w:hAnsi="Times New Roman" w:cs="Times New Roman"/>
              </w:rPr>
            </w:pPr>
            <w:r w:rsidRPr="00B824AA">
              <w:rPr>
                <w:rFonts w:ascii="Times New Roman" w:hAnsi="Times New Roman" w:cs="Times New Roman"/>
              </w:rPr>
              <w:t>2020</w:t>
            </w:r>
          </w:p>
        </w:tc>
        <w:tc>
          <w:tcPr>
            <w:tcW w:w="2096" w:type="dxa"/>
            <w:tcBorders>
              <w:top w:val="nil"/>
              <w:left w:val="single" w:sz="4" w:space="0" w:color="auto"/>
              <w:bottom w:val="nil"/>
              <w:right w:val="single" w:sz="4" w:space="0" w:color="auto"/>
            </w:tcBorders>
          </w:tcPr>
          <w:p w14:paraId="085BC36E" w14:textId="2835DF68" w:rsidR="00C016AC" w:rsidRPr="00C016AC" w:rsidRDefault="00C016AC" w:rsidP="00DB6F0D">
            <w:pPr>
              <w:tabs>
                <w:tab w:val="decimal" w:pos="850"/>
              </w:tabs>
              <w:rPr>
                <w:rFonts w:ascii="Times New Roman" w:hAnsi="Times New Roman" w:cs="Times New Roman"/>
              </w:rPr>
            </w:pPr>
            <w:r w:rsidRPr="00C016AC">
              <w:rPr>
                <w:rFonts w:ascii="Times New Roman" w:hAnsi="Times New Roman" w:cs="Times New Roman"/>
              </w:rPr>
              <w:t>66</w:t>
            </w:r>
          </w:p>
        </w:tc>
        <w:tc>
          <w:tcPr>
            <w:tcW w:w="2103" w:type="dxa"/>
            <w:tcBorders>
              <w:top w:val="nil"/>
              <w:left w:val="single" w:sz="4" w:space="0" w:color="auto"/>
              <w:bottom w:val="nil"/>
              <w:right w:val="single" w:sz="4" w:space="0" w:color="auto"/>
            </w:tcBorders>
          </w:tcPr>
          <w:p w14:paraId="4364F760" w14:textId="35C84EA8" w:rsidR="00C016AC" w:rsidRPr="00C016AC" w:rsidRDefault="00C016AC" w:rsidP="00DB6F0D">
            <w:pPr>
              <w:tabs>
                <w:tab w:val="decimal" w:pos="1034"/>
              </w:tabs>
              <w:rPr>
                <w:rFonts w:ascii="Times New Roman" w:hAnsi="Times New Roman" w:cs="Times New Roman"/>
              </w:rPr>
            </w:pPr>
            <w:r w:rsidRPr="00C016AC">
              <w:rPr>
                <w:rFonts w:ascii="Times New Roman" w:hAnsi="Times New Roman" w:cs="Times New Roman"/>
              </w:rPr>
              <w:t>62</w:t>
            </w:r>
          </w:p>
        </w:tc>
        <w:tc>
          <w:tcPr>
            <w:tcW w:w="2242" w:type="dxa"/>
            <w:tcBorders>
              <w:top w:val="nil"/>
              <w:left w:val="single" w:sz="4" w:space="0" w:color="auto"/>
              <w:bottom w:val="nil"/>
              <w:right w:val="single" w:sz="4" w:space="0" w:color="auto"/>
            </w:tcBorders>
          </w:tcPr>
          <w:p w14:paraId="1373025B" w14:textId="607E4D82" w:rsidR="00C016AC" w:rsidRPr="00C016AC" w:rsidRDefault="00C016AC" w:rsidP="00DB6F0D">
            <w:pPr>
              <w:tabs>
                <w:tab w:val="decimal" w:pos="1115"/>
              </w:tabs>
              <w:rPr>
                <w:rFonts w:ascii="Times New Roman" w:hAnsi="Times New Roman" w:cs="Times New Roman"/>
              </w:rPr>
            </w:pPr>
            <w:r w:rsidRPr="00C016AC">
              <w:rPr>
                <w:rFonts w:ascii="Times New Roman" w:hAnsi="Times New Roman" w:cs="Times New Roman"/>
              </w:rPr>
              <w:t>92</w:t>
            </w:r>
          </w:p>
        </w:tc>
      </w:tr>
      <w:tr w:rsidR="00C016AC" w:rsidRPr="00B824AA" w14:paraId="064DF117" w14:textId="77777777" w:rsidTr="00DD59E5">
        <w:tc>
          <w:tcPr>
            <w:tcW w:w="2486" w:type="dxa"/>
            <w:tcBorders>
              <w:top w:val="nil"/>
              <w:left w:val="single" w:sz="4" w:space="0" w:color="auto"/>
              <w:bottom w:val="nil"/>
              <w:right w:val="single" w:sz="4" w:space="0" w:color="auto"/>
            </w:tcBorders>
          </w:tcPr>
          <w:p w14:paraId="43579C27" w14:textId="7726B8AC" w:rsidR="00C016AC" w:rsidRPr="00B824AA" w:rsidRDefault="00C016AC" w:rsidP="00DB6F0D">
            <w:pPr>
              <w:rPr>
                <w:rFonts w:ascii="Times New Roman" w:hAnsi="Times New Roman" w:cs="Times New Roman"/>
              </w:rPr>
            </w:pPr>
            <w:r>
              <w:rPr>
                <w:rFonts w:ascii="Times New Roman" w:hAnsi="Times New Roman" w:cs="Times New Roman"/>
              </w:rPr>
              <w:t>2021</w:t>
            </w:r>
          </w:p>
        </w:tc>
        <w:tc>
          <w:tcPr>
            <w:tcW w:w="2096" w:type="dxa"/>
            <w:tcBorders>
              <w:top w:val="nil"/>
              <w:left w:val="single" w:sz="4" w:space="0" w:color="auto"/>
              <w:bottom w:val="nil"/>
              <w:right w:val="single" w:sz="4" w:space="0" w:color="auto"/>
            </w:tcBorders>
          </w:tcPr>
          <w:p w14:paraId="130E6F8B" w14:textId="68706331" w:rsidR="00C016AC" w:rsidRPr="00C016AC" w:rsidRDefault="00C016AC" w:rsidP="00DB6F0D">
            <w:pPr>
              <w:tabs>
                <w:tab w:val="decimal" w:pos="850"/>
              </w:tabs>
              <w:rPr>
                <w:rFonts w:ascii="Times New Roman" w:hAnsi="Times New Roman" w:cs="Times New Roman"/>
                <w:color w:val="000000"/>
              </w:rPr>
            </w:pPr>
            <w:r w:rsidRPr="00C016AC">
              <w:rPr>
                <w:rFonts w:ascii="Times New Roman" w:hAnsi="Times New Roman" w:cs="Times New Roman"/>
              </w:rPr>
              <w:t>71</w:t>
            </w:r>
          </w:p>
        </w:tc>
        <w:tc>
          <w:tcPr>
            <w:tcW w:w="2103" w:type="dxa"/>
            <w:tcBorders>
              <w:top w:val="nil"/>
              <w:left w:val="single" w:sz="4" w:space="0" w:color="auto"/>
              <w:bottom w:val="nil"/>
              <w:right w:val="single" w:sz="4" w:space="0" w:color="auto"/>
            </w:tcBorders>
          </w:tcPr>
          <w:p w14:paraId="2BD9E623" w14:textId="3A9A4F61" w:rsidR="00C016AC" w:rsidRPr="00C016AC" w:rsidRDefault="00C016AC" w:rsidP="00DB6F0D">
            <w:pPr>
              <w:tabs>
                <w:tab w:val="decimal" w:pos="1034"/>
              </w:tabs>
              <w:rPr>
                <w:rFonts w:ascii="Times New Roman" w:hAnsi="Times New Roman" w:cs="Times New Roman"/>
                <w:color w:val="000000"/>
              </w:rPr>
            </w:pPr>
            <w:r w:rsidRPr="00C016AC">
              <w:rPr>
                <w:rFonts w:ascii="Times New Roman" w:hAnsi="Times New Roman" w:cs="Times New Roman"/>
              </w:rPr>
              <w:t>70</w:t>
            </w:r>
          </w:p>
        </w:tc>
        <w:tc>
          <w:tcPr>
            <w:tcW w:w="2242" w:type="dxa"/>
            <w:tcBorders>
              <w:top w:val="nil"/>
              <w:left w:val="single" w:sz="4" w:space="0" w:color="auto"/>
              <w:bottom w:val="nil"/>
              <w:right w:val="single" w:sz="4" w:space="0" w:color="auto"/>
            </w:tcBorders>
          </w:tcPr>
          <w:p w14:paraId="615EA0DC" w14:textId="4CE40A63" w:rsidR="00C016AC" w:rsidRPr="00C016AC" w:rsidRDefault="00C016AC" w:rsidP="00DB6F0D">
            <w:pPr>
              <w:tabs>
                <w:tab w:val="decimal" w:pos="1115"/>
              </w:tabs>
              <w:rPr>
                <w:rFonts w:ascii="Times New Roman" w:hAnsi="Times New Roman" w:cs="Times New Roman"/>
                <w:color w:val="000000"/>
              </w:rPr>
            </w:pPr>
            <w:r w:rsidRPr="00C016AC">
              <w:rPr>
                <w:rFonts w:ascii="Times New Roman" w:hAnsi="Times New Roman" w:cs="Times New Roman"/>
              </w:rPr>
              <w:t>94</w:t>
            </w:r>
          </w:p>
        </w:tc>
      </w:tr>
      <w:tr w:rsidR="00C016AC" w:rsidRPr="00B824AA" w14:paraId="46E77F0D" w14:textId="77777777" w:rsidTr="00DD59E5">
        <w:tc>
          <w:tcPr>
            <w:tcW w:w="2486" w:type="dxa"/>
            <w:tcBorders>
              <w:top w:val="nil"/>
              <w:left w:val="single" w:sz="4" w:space="0" w:color="auto"/>
              <w:bottom w:val="single" w:sz="4" w:space="0" w:color="auto"/>
              <w:right w:val="single" w:sz="4" w:space="0" w:color="auto"/>
            </w:tcBorders>
            <w:hideMark/>
          </w:tcPr>
          <w:p w14:paraId="0B92E309" w14:textId="48749193" w:rsidR="00C016AC" w:rsidRPr="00B824AA" w:rsidRDefault="00C016AC" w:rsidP="00DB6F0D">
            <w:pPr>
              <w:rPr>
                <w:rFonts w:ascii="Times New Roman" w:hAnsi="Times New Roman" w:cs="Times New Roman"/>
                <w:sz w:val="24"/>
                <w:szCs w:val="24"/>
              </w:rPr>
            </w:pPr>
            <w:r>
              <w:rPr>
                <w:rFonts w:ascii="Times New Roman" w:hAnsi="Times New Roman" w:cs="Times New Roman"/>
              </w:rPr>
              <w:t>2022</w:t>
            </w:r>
          </w:p>
        </w:tc>
        <w:tc>
          <w:tcPr>
            <w:tcW w:w="2096" w:type="dxa"/>
            <w:tcBorders>
              <w:top w:val="nil"/>
              <w:left w:val="single" w:sz="4" w:space="0" w:color="auto"/>
              <w:bottom w:val="single" w:sz="4" w:space="0" w:color="auto"/>
              <w:right w:val="single" w:sz="4" w:space="0" w:color="auto"/>
            </w:tcBorders>
            <w:hideMark/>
          </w:tcPr>
          <w:p w14:paraId="1D1C86F8" w14:textId="636F631C" w:rsidR="00C016AC" w:rsidRPr="00C016AC" w:rsidRDefault="00C016AC" w:rsidP="00DB6F0D">
            <w:pPr>
              <w:tabs>
                <w:tab w:val="decimal" w:pos="850"/>
              </w:tabs>
              <w:rPr>
                <w:rFonts w:ascii="Times New Roman" w:hAnsi="Times New Roman" w:cs="Times New Roman"/>
              </w:rPr>
            </w:pPr>
            <w:r w:rsidRPr="00C016AC">
              <w:rPr>
                <w:rFonts w:ascii="Times New Roman" w:hAnsi="Times New Roman" w:cs="Times New Roman"/>
              </w:rPr>
              <w:t>67</w:t>
            </w:r>
          </w:p>
        </w:tc>
        <w:tc>
          <w:tcPr>
            <w:tcW w:w="2103" w:type="dxa"/>
            <w:tcBorders>
              <w:top w:val="nil"/>
              <w:left w:val="single" w:sz="4" w:space="0" w:color="auto"/>
              <w:bottom w:val="single" w:sz="4" w:space="0" w:color="auto"/>
              <w:right w:val="single" w:sz="4" w:space="0" w:color="auto"/>
            </w:tcBorders>
            <w:hideMark/>
          </w:tcPr>
          <w:p w14:paraId="6A72A27F" w14:textId="433A1FA2" w:rsidR="00C016AC" w:rsidRPr="00C016AC" w:rsidRDefault="00C016AC" w:rsidP="00DB6F0D">
            <w:pPr>
              <w:tabs>
                <w:tab w:val="decimal" w:pos="1034"/>
              </w:tabs>
              <w:rPr>
                <w:rFonts w:ascii="Times New Roman" w:hAnsi="Times New Roman" w:cs="Times New Roman"/>
              </w:rPr>
            </w:pPr>
            <w:r w:rsidRPr="00C016AC">
              <w:rPr>
                <w:rFonts w:ascii="Times New Roman" w:hAnsi="Times New Roman" w:cs="Times New Roman"/>
              </w:rPr>
              <w:t>64</w:t>
            </w:r>
          </w:p>
        </w:tc>
        <w:tc>
          <w:tcPr>
            <w:tcW w:w="2242" w:type="dxa"/>
            <w:tcBorders>
              <w:top w:val="nil"/>
              <w:left w:val="single" w:sz="4" w:space="0" w:color="auto"/>
              <w:bottom w:val="single" w:sz="4" w:space="0" w:color="auto"/>
              <w:right w:val="single" w:sz="4" w:space="0" w:color="auto"/>
            </w:tcBorders>
            <w:hideMark/>
          </w:tcPr>
          <w:p w14:paraId="4AD0CA23" w14:textId="27DC6A5C" w:rsidR="00C016AC" w:rsidRPr="00C016AC" w:rsidRDefault="00C016AC" w:rsidP="00DB6F0D">
            <w:pPr>
              <w:tabs>
                <w:tab w:val="decimal" w:pos="1115"/>
              </w:tabs>
              <w:rPr>
                <w:rFonts w:ascii="Times New Roman" w:hAnsi="Times New Roman" w:cs="Times New Roman"/>
              </w:rPr>
            </w:pPr>
            <w:r w:rsidRPr="00C016AC">
              <w:rPr>
                <w:rFonts w:ascii="Times New Roman" w:hAnsi="Times New Roman" w:cs="Times New Roman"/>
              </w:rPr>
              <w:t>93</w:t>
            </w:r>
          </w:p>
        </w:tc>
      </w:tr>
    </w:tbl>
    <w:p w14:paraId="3A01E380" w14:textId="4FE28FB7" w:rsidR="009B4EAA" w:rsidRPr="00B824AA" w:rsidRDefault="006B777F" w:rsidP="009B4EAA">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t>
      </w:r>
      <w:r w:rsidR="00CD6DA3">
        <w:rPr>
          <w:rFonts w:ascii="Times New Roman" w:hAnsi="Times New Roman" w:cs="Times New Roman"/>
          <w:i/>
          <w:iCs/>
          <w:sz w:val="24"/>
          <w:szCs w:val="24"/>
        </w:rPr>
        <w:t>w</w:t>
      </w:r>
    </w:p>
    <w:p w14:paraId="75816DCE" w14:textId="1DE5A095" w:rsidR="000F104C" w:rsidRDefault="000F104C">
      <w:pPr>
        <w:rPr>
          <w:rFonts w:ascii="Times New Roman" w:hAnsi="Times New Roman" w:cs="Times New Roman"/>
          <w:sz w:val="24"/>
          <w:szCs w:val="24"/>
        </w:rPr>
      </w:pPr>
      <w:r>
        <w:rPr>
          <w:rFonts w:ascii="Times New Roman" w:hAnsi="Times New Roman" w:cs="Times New Roman"/>
          <w:sz w:val="24"/>
          <w:szCs w:val="24"/>
        </w:rPr>
        <w:br w:type="page"/>
      </w:r>
    </w:p>
    <w:p w14:paraId="0D4E4069" w14:textId="77777777" w:rsidR="009B4EAA" w:rsidRPr="00B824AA" w:rsidRDefault="009B4EAA" w:rsidP="009B4EAA">
      <w:pPr>
        <w:rPr>
          <w:rFonts w:ascii="Times New Roman" w:hAnsi="Times New Roman" w:cs="Times New Roman"/>
          <w:sz w:val="24"/>
          <w:szCs w:val="24"/>
        </w:rPr>
      </w:pPr>
    </w:p>
    <w:p w14:paraId="72C2CF12" w14:textId="10E102D1" w:rsidR="006A6ED6" w:rsidRPr="00B824AA" w:rsidRDefault="006A6ED6" w:rsidP="006A6ED6">
      <w:pPr>
        <w:pStyle w:val="Heading1"/>
        <w:numPr>
          <w:ilvl w:val="0"/>
          <w:numId w:val="6"/>
        </w:numPr>
        <w:rPr>
          <w:rFonts w:ascii="Times New Roman" w:hAnsi="Times New Roman" w:cs="Times New Roman"/>
          <w:sz w:val="36"/>
          <w:szCs w:val="36"/>
        </w:rPr>
      </w:pPr>
      <w:bookmarkStart w:id="2" w:name="_Toc162905458"/>
      <w:r w:rsidRPr="00B824AA">
        <w:rPr>
          <w:rFonts w:ascii="Times New Roman" w:hAnsi="Times New Roman" w:cs="Times New Roman"/>
          <w:sz w:val="36"/>
          <w:szCs w:val="36"/>
        </w:rPr>
        <w:t xml:space="preserve">Metodyka szacowania wskaźnika </w:t>
      </w:r>
      <w:proofErr w:type="spellStart"/>
      <w:r w:rsidRPr="00B824AA">
        <w:rPr>
          <w:rFonts w:ascii="Times New Roman" w:hAnsi="Times New Roman" w:cs="Times New Roman"/>
          <w:i/>
          <w:iCs/>
          <w:sz w:val="36"/>
          <w:szCs w:val="36"/>
        </w:rPr>
        <w:t>catch-up</w:t>
      </w:r>
      <w:bookmarkEnd w:id="2"/>
      <w:proofErr w:type="spellEnd"/>
    </w:p>
    <w:p w14:paraId="76AED1C2" w14:textId="4D14FA52" w:rsidR="006B777F" w:rsidRPr="00B824AA" w:rsidRDefault="001210F2" w:rsidP="009B4EAA">
      <w:pPr>
        <w:rPr>
          <w:rFonts w:ascii="Times New Roman" w:hAnsi="Times New Roman" w:cs="Times New Roman"/>
          <w:i/>
          <w:iCs/>
          <w:sz w:val="24"/>
          <w:szCs w:val="24"/>
        </w:rPr>
      </w:pPr>
      <w:r w:rsidRPr="00B824AA">
        <w:rPr>
          <w:rFonts w:ascii="Times New Roman" w:hAnsi="Times New Roman" w:cs="Times New Roman"/>
          <w:i/>
          <w:iCs/>
          <w:sz w:val="24"/>
          <w:szCs w:val="24"/>
        </w:rPr>
        <w:t>Tomasz Panek</w:t>
      </w:r>
    </w:p>
    <w:p w14:paraId="46741423" w14:textId="7EA6427D" w:rsidR="006A6ED6" w:rsidRPr="00B824AA" w:rsidRDefault="006A6ED6" w:rsidP="00BA4D79">
      <w:pPr>
        <w:pStyle w:val="Heading2"/>
        <w:numPr>
          <w:ilvl w:val="1"/>
          <w:numId w:val="6"/>
        </w:numPr>
        <w:rPr>
          <w:rFonts w:ascii="Times New Roman" w:hAnsi="Times New Roman" w:cs="Times New Roman"/>
          <w:sz w:val="28"/>
          <w:szCs w:val="28"/>
        </w:rPr>
      </w:pPr>
      <w:bookmarkStart w:id="3" w:name="_Toc162905459"/>
      <w:r w:rsidRPr="00B824AA">
        <w:rPr>
          <w:rFonts w:ascii="Times New Roman" w:hAnsi="Times New Roman" w:cs="Times New Roman"/>
          <w:sz w:val="28"/>
          <w:szCs w:val="28"/>
        </w:rPr>
        <w:t>Założenia systemu porównań</w:t>
      </w:r>
      <w:bookmarkEnd w:id="3"/>
    </w:p>
    <w:p w14:paraId="5DE78038" w14:textId="28719631" w:rsidR="00287F9D" w:rsidRPr="00B824AA" w:rsidRDefault="006A6ED6" w:rsidP="00287F9D">
      <w:pPr>
        <w:spacing w:line="360" w:lineRule="auto"/>
        <w:jc w:val="both"/>
        <w:rPr>
          <w:rFonts w:ascii="Times New Roman" w:hAnsi="Times New Roman" w:cs="Times New Roman"/>
          <w:sz w:val="24"/>
          <w:szCs w:val="24"/>
        </w:rPr>
      </w:pPr>
      <w:r w:rsidRPr="23A1E861">
        <w:rPr>
          <w:rFonts w:ascii="Times New Roman" w:hAnsi="Times New Roman" w:cs="Times New Roman"/>
          <w:sz w:val="24"/>
          <w:szCs w:val="24"/>
        </w:rPr>
        <w:t xml:space="preserve">Do szacowania wskaźnika </w:t>
      </w:r>
      <w:proofErr w:type="spellStart"/>
      <w:r w:rsidRPr="23A1E861">
        <w:rPr>
          <w:rFonts w:ascii="Times New Roman" w:hAnsi="Times New Roman" w:cs="Times New Roman"/>
          <w:i/>
          <w:iCs/>
          <w:sz w:val="24"/>
          <w:szCs w:val="24"/>
        </w:rPr>
        <w:t>catch-up</w:t>
      </w:r>
      <w:proofErr w:type="spellEnd"/>
      <w:r w:rsidRPr="23A1E861">
        <w:rPr>
          <w:rFonts w:ascii="Times New Roman" w:hAnsi="Times New Roman" w:cs="Times New Roman"/>
          <w:sz w:val="24"/>
          <w:szCs w:val="24"/>
        </w:rPr>
        <w:t xml:space="preserve"> przyjęto założenie, że w</w:t>
      </w:r>
      <w:r w:rsidR="00287F9D" w:rsidRPr="23A1E861">
        <w:rPr>
          <w:rFonts w:ascii="Times New Roman" w:hAnsi="Times New Roman" w:cs="Times New Roman"/>
          <w:sz w:val="24"/>
          <w:szCs w:val="24"/>
        </w:rPr>
        <w:t xml:space="preserve"> analizie porównawczej uwzględniamy wyłącznie kraje U</w:t>
      </w:r>
      <w:r w:rsidRPr="23A1E861">
        <w:rPr>
          <w:rFonts w:ascii="Times New Roman" w:hAnsi="Times New Roman" w:cs="Times New Roman"/>
          <w:sz w:val="24"/>
          <w:szCs w:val="24"/>
        </w:rPr>
        <w:t xml:space="preserve">nii Europejskiej. Porównanie to skupia się </w:t>
      </w:r>
      <w:r w:rsidR="00287F9D" w:rsidRPr="23A1E861">
        <w:rPr>
          <w:rFonts w:ascii="Times New Roman" w:hAnsi="Times New Roman" w:cs="Times New Roman"/>
          <w:sz w:val="24"/>
          <w:szCs w:val="24"/>
        </w:rPr>
        <w:t>na poziom</w:t>
      </w:r>
      <w:r w:rsidRPr="23A1E861">
        <w:rPr>
          <w:rFonts w:ascii="Times New Roman" w:hAnsi="Times New Roman" w:cs="Times New Roman"/>
          <w:sz w:val="24"/>
          <w:szCs w:val="24"/>
        </w:rPr>
        <w:t>ie</w:t>
      </w:r>
      <w:r w:rsidR="00287F9D" w:rsidRPr="23A1E861">
        <w:rPr>
          <w:rFonts w:ascii="Times New Roman" w:hAnsi="Times New Roman" w:cs="Times New Roman"/>
          <w:sz w:val="24"/>
          <w:szCs w:val="24"/>
        </w:rPr>
        <w:t xml:space="preserve"> rozwoju społecznego.</w:t>
      </w:r>
      <w:r w:rsidRPr="23A1E861">
        <w:rPr>
          <w:rFonts w:ascii="Times New Roman" w:hAnsi="Times New Roman" w:cs="Times New Roman"/>
          <w:sz w:val="24"/>
          <w:szCs w:val="24"/>
        </w:rPr>
        <w:t xml:space="preserve"> </w:t>
      </w:r>
      <w:r w:rsidR="00287F9D" w:rsidRPr="23A1E861">
        <w:rPr>
          <w:rFonts w:ascii="Times New Roman" w:hAnsi="Times New Roman" w:cs="Times New Roman"/>
          <w:sz w:val="24"/>
          <w:szCs w:val="24"/>
        </w:rPr>
        <w:t>Ocen</w:t>
      </w:r>
      <w:r w:rsidRPr="23A1E861">
        <w:rPr>
          <w:rFonts w:ascii="Times New Roman" w:hAnsi="Times New Roman" w:cs="Times New Roman"/>
          <w:sz w:val="24"/>
          <w:szCs w:val="24"/>
        </w:rPr>
        <w:t>a</w:t>
      </w:r>
      <w:r w:rsidR="00287F9D" w:rsidRPr="23A1E861">
        <w:rPr>
          <w:rFonts w:ascii="Times New Roman" w:hAnsi="Times New Roman" w:cs="Times New Roman"/>
          <w:sz w:val="24"/>
          <w:szCs w:val="24"/>
        </w:rPr>
        <w:t xml:space="preserve"> poziomu rozwoju społecznego </w:t>
      </w:r>
      <w:r w:rsidRPr="23A1E861">
        <w:rPr>
          <w:rFonts w:ascii="Times New Roman" w:hAnsi="Times New Roman" w:cs="Times New Roman"/>
          <w:sz w:val="24"/>
          <w:szCs w:val="24"/>
        </w:rPr>
        <w:t>dokonywana są</w:t>
      </w:r>
      <w:r w:rsidR="00287F9D" w:rsidRPr="23A1E861">
        <w:rPr>
          <w:rFonts w:ascii="Times New Roman" w:hAnsi="Times New Roman" w:cs="Times New Roman"/>
          <w:sz w:val="24"/>
          <w:szCs w:val="24"/>
        </w:rPr>
        <w:t xml:space="preserve"> zarówno za pomocą wskaźników typu obiektywnego jak i wskaźników typu subiektywnego: </w:t>
      </w:r>
    </w:p>
    <w:p w14:paraId="152ECD8C" w14:textId="77777777" w:rsidR="00287F9D" w:rsidRPr="00B824AA" w:rsidRDefault="00287F9D" w:rsidP="00287F9D">
      <w:pPr>
        <w:pStyle w:val="ListParagraph"/>
        <w:numPr>
          <w:ilvl w:val="0"/>
          <w:numId w:val="2"/>
        </w:numPr>
        <w:spacing w:line="360" w:lineRule="auto"/>
        <w:ind w:left="714" w:hanging="357"/>
        <w:jc w:val="both"/>
        <w:rPr>
          <w:rFonts w:ascii="Times New Roman" w:hAnsi="Times New Roman" w:cs="Times New Roman"/>
          <w:sz w:val="24"/>
          <w:szCs w:val="24"/>
        </w:rPr>
      </w:pPr>
      <w:r w:rsidRPr="00B824AA">
        <w:rPr>
          <w:rFonts w:ascii="Times New Roman" w:hAnsi="Times New Roman" w:cs="Times New Roman"/>
          <w:sz w:val="24"/>
          <w:szCs w:val="24"/>
        </w:rPr>
        <w:t>wskaźniki typu obiektywnego mierzą różne aspekty rozwoju społecznego niezależnie od osobistych wartościowań jednostek (osób, gospodarstw domowych) w tym zakresie</w:t>
      </w:r>
    </w:p>
    <w:p w14:paraId="3F90283C" w14:textId="77777777" w:rsidR="00287F9D" w:rsidRPr="00B824AA" w:rsidRDefault="00287F9D" w:rsidP="00287F9D">
      <w:pPr>
        <w:pStyle w:val="ListParagraph"/>
        <w:numPr>
          <w:ilvl w:val="0"/>
          <w:numId w:val="2"/>
        </w:numPr>
        <w:spacing w:line="360" w:lineRule="auto"/>
        <w:ind w:left="714" w:hanging="357"/>
        <w:jc w:val="both"/>
        <w:rPr>
          <w:rFonts w:ascii="Times New Roman" w:hAnsi="Times New Roman" w:cs="Times New Roman"/>
          <w:sz w:val="24"/>
          <w:szCs w:val="24"/>
        </w:rPr>
      </w:pPr>
      <w:r w:rsidRPr="00B824AA">
        <w:rPr>
          <w:rFonts w:ascii="Times New Roman" w:hAnsi="Times New Roman" w:cs="Times New Roman"/>
          <w:sz w:val="24"/>
          <w:szCs w:val="24"/>
        </w:rPr>
        <w:t>wskaźniki typu subiektywnego stanowią ocenę różnych aspektów rozwoju społecznego dokonywaną przez same jednostki</w:t>
      </w:r>
    </w:p>
    <w:p w14:paraId="18645E5D" w14:textId="2C38C91B" w:rsidR="00287F9D" w:rsidRPr="00B824AA" w:rsidRDefault="00287F9D" w:rsidP="00287F9D">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Przykładem wskaźnika typu obiektywnego w </w:t>
      </w:r>
      <w:r w:rsidR="006A6ED6" w:rsidRPr="00B824AA">
        <w:rPr>
          <w:rFonts w:ascii="Times New Roman" w:hAnsi="Times New Roman" w:cs="Times New Roman"/>
          <w:sz w:val="24"/>
          <w:szCs w:val="24"/>
        </w:rPr>
        <w:t>obszarze</w:t>
      </w:r>
      <w:r w:rsidRPr="00B824AA">
        <w:rPr>
          <w:rFonts w:ascii="Times New Roman" w:hAnsi="Times New Roman" w:cs="Times New Roman"/>
          <w:sz w:val="24"/>
          <w:szCs w:val="24"/>
        </w:rPr>
        <w:t xml:space="preserve"> poziomu rozwoju społecznego zdrowie jest wskaźnik przeciętnego trwania życia w zdrowiu, a przykładem wskaźnika typu subiektywnego jest samoocena stanu zdrowia.</w:t>
      </w:r>
    </w:p>
    <w:p w14:paraId="0602DC44" w14:textId="77777777" w:rsidR="006A6ED6" w:rsidRPr="00B824AA" w:rsidRDefault="00287F9D" w:rsidP="006A6ED6">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 </w:t>
      </w:r>
      <w:r w:rsidR="006A6ED6" w:rsidRPr="00B824AA">
        <w:rPr>
          <w:rFonts w:ascii="Times New Roman" w:hAnsi="Times New Roman" w:cs="Times New Roman"/>
          <w:sz w:val="24"/>
          <w:szCs w:val="24"/>
        </w:rPr>
        <w:t>porównaniu</w:t>
      </w:r>
      <w:r w:rsidRPr="00B824AA">
        <w:rPr>
          <w:rFonts w:ascii="Times New Roman" w:hAnsi="Times New Roman" w:cs="Times New Roman"/>
          <w:sz w:val="24"/>
          <w:szCs w:val="24"/>
        </w:rPr>
        <w:t xml:space="preserve"> uwzględniamy tylko wskaźniki efektów.</w:t>
      </w:r>
      <w:r w:rsidR="006A6ED6" w:rsidRPr="00B824AA">
        <w:rPr>
          <w:rFonts w:ascii="Times New Roman" w:hAnsi="Times New Roman" w:cs="Times New Roman"/>
          <w:sz w:val="24"/>
          <w:szCs w:val="24"/>
        </w:rPr>
        <w:t xml:space="preserve"> N</w:t>
      </w:r>
      <w:r w:rsidRPr="00B824AA">
        <w:rPr>
          <w:rFonts w:ascii="Times New Roman" w:hAnsi="Times New Roman" w:cs="Times New Roman"/>
          <w:sz w:val="24"/>
          <w:szCs w:val="24"/>
        </w:rPr>
        <w:t>ie uwzględniamy wskaźników nakładów ponoszonych w danym wymiarze, tj. zarówno wydatków gospodarstw domowych, jak i wydatków publicznych.</w:t>
      </w:r>
      <w:r w:rsidR="006A6ED6" w:rsidRPr="00B824AA">
        <w:rPr>
          <w:rFonts w:ascii="Times New Roman" w:hAnsi="Times New Roman" w:cs="Times New Roman"/>
          <w:sz w:val="24"/>
          <w:szCs w:val="24"/>
        </w:rPr>
        <w:t xml:space="preserve"> </w:t>
      </w:r>
    </w:p>
    <w:p w14:paraId="4E2EF2B6" w14:textId="13CEF7BD" w:rsidR="00287F9D" w:rsidRPr="00B824AA" w:rsidRDefault="00287F9D" w:rsidP="006A6ED6">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Wskaźniki cząstkowe mogą mieć zarówno charakter stymulant – (ich wysokie wartości są pożądane ze względu na analizowane zjawisko) jak i </w:t>
      </w:r>
      <w:proofErr w:type="spellStart"/>
      <w:r w:rsidRPr="00B824AA">
        <w:rPr>
          <w:rFonts w:ascii="Times New Roman" w:hAnsi="Times New Roman" w:cs="Times New Roman"/>
          <w:sz w:val="24"/>
          <w:szCs w:val="24"/>
        </w:rPr>
        <w:t>destymulant</w:t>
      </w:r>
      <w:proofErr w:type="spellEnd"/>
      <w:r w:rsidRPr="00B824AA">
        <w:rPr>
          <w:rFonts w:ascii="Times New Roman" w:hAnsi="Times New Roman" w:cs="Times New Roman"/>
          <w:sz w:val="24"/>
          <w:szCs w:val="24"/>
        </w:rPr>
        <w:t xml:space="preserve"> (ich wysokie wartości są niepożądane ze względu na analizowane zjawisko). W przypadku </w:t>
      </w:r>
      <w:proofErr w:type="spellStart"/>
      <w:r w:rsidRPr="00B824AA">
        <w:rPr>
          <w:rFonts w:ascii="Times New Roman" w:hAnsi="Times New Roman" w:cs="Times New Roman"/>
          <w:sz w:val="24"/>
          <w:szCs w:val="24"/>
        </w:rPr>
        <w:t>destymulant</w:t>
      </w:r>
      <w:proofErr w:type="spellEnd"/>
      <w:r w:rsidRPr="00B824AA">
        <w:rPr>
          <w:rFonts w:ascii="Times New Roman" w:hAnsi="Times New Roman" w:cs="Times New Roman"/>
          <w:sz w:val="24"/>
          <w:szCs w:val="24"/>
        </w:rPr>
        <w:t xml:space="preserve"> dokonujemy ich stymulacji według wzoru:</w:t>
      </w:r>
    </w:p>
    <w:p w14:paraId="7A221E55" w14:textId="77777777" w:rsidR="00287F9D" w:rsidRPr="00B824AA" w:rsidRDefault="00242DAD" w:rsidP="00287F9D">
      <w:pPr>
        <w:spacing w:line="360" w:lineRule="auto"/>
        <w:ind w:left="1065" w:firstLine="351"/>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rPr>
              <m:t>x</m:t>
            </m:r>
          </m:e>
          <m:sub>
            <m:r>
              <w:rPr>
                <w:rFonts w:ascii="Cambria Math" w:hAnsi="Cambria Math" w:cs="Times New Roman"/>
                <w:sz w:val="24"/>
              </w:rPr>
              <m:t>i</m:t>
            </m:r>
            <m:r>
              <w:rPr>
                <w:rFonts w:ascii="Cambria Math" w:hAnsi="Cambria Math" w:cs="Times New Roman"/>
                <w:sz w:val="24"/>
              </w:rPr>
              <m:t>h</m:t>
            </m:r>
            <m:r>
              <w:rPr>
                <w:rFonts w:ascii="Cambria Math" w:hAnsi="Cambria Math" w:cs="Times New Roman"/>
                <w:sz w:val="24"/>
              </w:rPr>
              <m:t>j</m:t>
            </m:r>
          </m:sub>
          <m:sup>
            <m:r>
              <w:rPr>
                <w:rFonts w:ascii="Cambria Math" w:hAnsi="Cambria Math" w:cs="Times New Roman"/>
                <w:sz w:val="24"/>
              </w:rPr>
              <m:t>s</m:t>
            </m:r>
          </m:sup>
        </m:sSubSup>
        <m:r>
          <w:rPr>
            <w:rFonts w:ascii="Cambria Math" w:hAnsi="Cambria Math" w:cs="Times New Roman"/>
            <w:sz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w:rPr>
                    <w:rFonts w:ascii="Cambria Math" w:hAnsi="Cambria Math" w:cs="Times New Roman"/>
                    <w:sz w:val="24"/>
                  </w:rPr>
                  <m:t>max</m:t>
                </m:r>
              </m:e>
              <m:lim>
                <m:r>
                  <w:rPr>
                    <w:rFonts w:ascii="Cambria Math" w:hAnsi="Cambria Math" w:cs="Times New Roman"/>
                    <w:sz w:val="24"/>
                  </w:rPr>
                  <m:t>i</m:t>
                </m:r>
                <m:r>
                  <w:rPr>
                    <w:rFonts w:ascii="Cambria Math" w:hAnsi="Cambria Math" w:cs="Times New Roman"/>
                    <w:sz w:val="24"/>
                  </w:rPr>
                  <m:t>h</m:t>
                </m:r>
              </m:lim>
            </m:limLow>
          </m:fName>
          <m:e>
            <m:r>
              <w:rPr>
                <w:rFonts w:ascii="Cambria Math" w:hAnsi="Cambria Math" w:cs="Times New Roman"/>
                <w:sz w:val="24"/>
              </w:rPr>
              <m:t>{</m:t>
            </m:r>
            <m:sSubSup>
              <m:sSubSupPr>
                <m:ctrlPr>
                  <w:rPr>
                    <w:rFonts w:ascii="Cambria Math" w:hAnsi="Cambria Math" w:cs="Times New Roman"/>
                    <w:i/>
                    <w:sz w:val="24"/>
                    <w:szCs w:val="24"/>
                  </w:rPr>
                </m:ctrlPr>
              </m:sSubSupPr>
              <m:e>
                <m:r>
                  <w:rPr>
                    <w:rFonts w:ascii="Cambria Math" w:hAnsi="Cambria Math" w:cs="Times New Roman"/>
                    <w:sz w:val="24"/>
                  </w:rPr>
                  <m:t>x</m:t>
                </m:r>
              </m:e>
              <m:sub>
                <m:r>
                  <w:rPr>
                    <w:rFonts w:ascii="Cambria Math" w:hAnsi="Cambria Math" w:cs="Times New Roman"/>
                    <w:sz w:val="24"/>
                  </w:rPr>
                  <m:t>i</m:t>
                </m:r>
                <m:r>
                  <w:rPr>
                    <w:rFonts w:ascii="Cambria Math" w:hAnsi="Cambria Math" w:cs="Times New Roman"/>
                    <w:sz w:val="24"/>
                  </w:rPr>
                  <m:t>h</m:t>
                </m:r>
                <m:r>
                  <w:rPr>
                    <w:rFonts w:ascii="Cambria Math" w:hAnsi="Cambria Math" w:cs="Times New Roman"/>
                    <w:sz w:val="24"/>
                  </w:rPr>
                  <m:t>j</m:t>
                </m:r>
              </m:sub>
              <m:sup>
                <m:r>
                  <w:rPr>
                    <w:rFonts w:ascii="Cambria Math" w:hAnsi="Cambria Math" w:cs="Times New Roman"/>
                    <w:sz w:val="24"/>
                  </w:rPr>
                  <m:t>D</m:t>
                </m:r>
              </m:sup>
            </m:sSubSup>
            <m:r>
              <w:rPr>
                <w:rFonts w:ascii="Cambria Math" w:hAnsi="Cambria Math" w:cs="Times New Roman"/>
                <w:sz w:val="24"/>
              </w:rPr>
              <m:t>}-</m:t>
            </m:r>
          </m:e>
        </m:func>
        <m:sSubSup>
          <m:sSubSupPr>
            <m:ctrlPr>
              <w:rPr>
                <w:rFonts w:ascii="Cambria Math" w:hAnsi="Cambria Math" w:cs="Times New Roman"/>
                <w:i/>
                <w:sz w:val="24"/>
                <w:szCs w:val="24"/>
              </w:rPr>
            </m:ctrlPr>
          </m:sSubSupPr>
          <m:e>
            <m:r>
              <w:rPr>
                <w:rFonts w:ascii="Cambria Math" w:hAnsi="Cambria Math" w:cs="Times New Roman"/>
                <w:sz w:val="24"/>
              </w:rPr>
              <m:t>x</m:t>
            </m:r>
          </m:e>
          <m:sub>
            <m:r>
              <w:rPr>
                <w:rFonts w:ascii="Cambria Math" w:hAnsi="Cambria Math" w:cs="Times New Roman"/>
                <w:sz w:val="24"/>
              </w:rPr>
              <m:t>i</m:t>
            </m:r>
            <m:r>
              <w:rPr>
                <w:rFonts w:ascii="Cambria Math" w:hAnsi="Cambria Math" w:cs="Times New Roman"/>
                <w:sz w:val="24"/>
              </w:rPr>
              <m:t>h</m:t>
            </m:r>
            <m:r>
              <w:rPr>
                <w:rFonts w:ascii="Cambria Math" w:hAnsi="Cambria Math" w:cs="Times New Roman"/>
                <w:sz w:val="24"/>
              </w:rPr>
              <m:t>j</m:t>
            </m:r>
          </m:sub>
          <m:sup>
            <m:r>
              <w:rPr>
                <w:rFonts w:ascii="Cambria Math" w:hAnsi="Cambria Math" w:cs="Times New Roman"/>
                <w:sz w:val="24"/>
              </w:rPr>
              <m:t>D</m:t>
            </m:r>
          </m:sup>
        </m:sSubSup>
      </m:oMath>
      <w:r w:rsidR="00287F9D" w:rsidRPr="00B824AA">
        <w:rPr>
          <w:rFonts w:ascii="Times New Roman" w:hAnsi="Times New Roman" w:cs="Times New Roman"/>
          <w:sz w:val="24"/>
        </w:rPr>
        <w:t>,</w:t>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t>(1)</w:t>
      </w:r>
    </w:p>
    <w:p w14:paraId="09F2AA81" w14:textId="77777777" w:rsidR="00287F9D" w:rsidRPr="00B824AA" w:rsidRDefault="00287F9D" w:rsidP="00287F9D">
      <w:pPr>
        <w:spacing w:after="0" w:line="360" w:lineRule="auto"/>
        <w:ind w:firstLine="357"/>
        <w:jc w:val="both"/>
        <w:rPr>
          <w:rFonts w:ascii="Times New Roman" w:hAnsi="Times New Roman" w:cs="Times New Roman"/>
          <w:sz w:val="24"/>
          <w:szCs w:val="24"/>
        </w:rPr>
      </w:pPr>
      <w:r w:rsidRPr="00B824AA">
        <w:rPr>
          <w:rFonts w:ascii="Times New Roman" w:hAnsi="Times New Roman" w:cs="Times New Roman"/>
          <w:sz w:val="24"/>
          <w:szCs w:val="24"/>
        </w:rPr>
        <w:t>gdzie:</w:t>
      </w:r>
    </w:p>
    <w:p w14:paraId="3D83C1A6" w14:textId="77777777" w:rsidR="00287F9D" w:rsidRPr="00B824AA" w:rsidRDefault="00242DAD" w:rsidP="00287F9D">
      <w:pPr>
        <w:spacing w:after="0" w:line="360" w:lineRule="auto"/>
        <w:ind w:left="357"/>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m:t>
            </m:r>
            <m:r>
              <w:rPr>
                <w:rFonts w:ascii="Cambria Math" w:hAnsi="Cambria Math" w:cs="Times New Roman"/>
              </w:rPr>
              <m:t>h</m:t>
            </m:r>
            <m:r>
              <w:rPr>
                <w:rFonts w:ascii="Cambria Math" w:hAnsi="Cambria Math" w:cs="Times New Roman"/>
              </w:rPr>
              <m:t>j</m:t>
            </m:r>
            <m:r>
              <w:rPr>
                <w:rFonts w:ascii="Cambria Math" w:hAnsi="Cambria Math" w:cs="Times New Roman"/>
              </w:rPr>
              <m:t xml:space="preserve"> </m:t>
            </m:r>
          </m:sub>
          <m:sup>
            <m:r>
              <w:rPr>
                <w:rFonts w:ascii="Cambria Math" w:hAnsi="Cambria Math" w:cs="Times New Roman"/>
              </w:rPr>
              <m:t>s</m:t>
            </m:r>
          </m:sup>
        </m:sSubSup>
      </m:oMath>
      <w:r w:rsidR="00287F9D" w:rsidRPr="00B824AA">
        <w:rPr>
          <w:rFonts w:ascii="Times New Roman" w:hAnsi="Times New Roman" w:cs="Times New Roman"/>
          <w:sz w:val="24"/>
          <w:szCs w:val="24"/>
        </w:rPr>
        <w:t xml:space="preserve">– wartość </w:t>
      </w:r>
      <w:r w:rsidR="00287F9D" w:rsidRPr="00B824AA">
        <w:rPr>
          <w:rFonts w:ascii="Times New Roman" w:hAnsi="Times New Roman" w:cs="Times New Roman"/>
          <w:i/>
          <w:iCs/>
          <w:sz w:val="24"/>
          <w:szCs w:val="24"/>
        </w:rPr>
        <w:t>j</w:t>
      </w:r>
      <w:r w:rsidR="00287F9D" w:rsidRPr="00B824AA">
        <w:rPr>
          <w:rFonts w:ascii="Times New Roman" w:hAnsi="Times New Roman" w:cs="Times New Roman"/>
          <w:sz w:val="24"/>
          <w:szCs w:val="24"/>
        </w:rPr>
        <w:t xml:space="preserve">-tego wskaźnika cząstkowego </w:t>
      </w:r>
      <w:proofErr w:type="spellStart"/>
      <w:r w:rsidR="00287F9D" w:rsidRPr="00B824AA">
        <w:rPr>
          <w:rFonts w:ascii="Times New Roman" w:hAnsi="Times New Roman" w:cs="Times New Roman"/>
          <w:sz w:val="24"/>
          <w:szCs w:val="24"/>
        </w:rPr>
        <w:t>destymulanty</w:t>
      </w:r>
      <w:proofErr w:type="spellEnd"/>
      <w:r w:rsidR="00287F9D" w:rsidRPr="00B824AA">
        <w:rPr>
          <w:rFonts w:ascii="Times New Roman" w:hAnsi="Times New Roman" w:cs="Times New Roman"/>
          <w:sz w:val="24"/>
          <w:szCs w:val="24"/>
        </w:rPr>
        <w:t xml:space="preserve"> w </w:t>
      </w:r>
      <w:r w:rsidR="00287F9D" w:rsidRPr="00B824AA">
        <w:rPr>
          <w:rFonts w:ascii="Times New Roman" w:hAnsi="Times New Roman" w:cs="Times New Roman"/>
          <w:i/>
          <w:iCs/>
          <w:sz w:val="24"/>
          <w:szCs w:val="24"/>
        </w:rPr>
        <w:t>h</w:t>
      </w:r>
      <w:r w:rsidR="00287F9D" w:rsidRPr="00B824AA">
        <w:rPr>
          <w:rFonts w:ascii="Times New Roman" w:hAnsi="Times New Roman" w:cs="Times New Roman"/>
          <w:sz w:val="24"/>
          <w:szCs w:val="24"/>
        </w:rPr>
        <w:t xml:space="preserve">-tym wymiarze w </w:t>
      </w:r>
      <w:r w:rsidR="00287F9D" w:rsidRPr="00B824AA">
        <w:rPr>
          <w:rFonts w:ascii="Times New Roman" w:hAnsi="Times New Roman" w:cs="Times New Roman"/>
          <w:i/>
          <w:iCs/>
          <w:sz w:val="24"/>
          <w:szCs w:val="24"/>
        </w:rPr>
        <w:t>i</w:t>
      </w:r>
      <w:r w:rsidR="00287F9D" w:rsidRPr="00B824AA">
        <w:rPr>
          <w:rFonts w:ascii="Times New Roman" w:hAnsi="Times New Roman" w:cs="Times New Roman"/>
          <w:sz w:val="24"/>
          <w:szCs w:val="24"/>
        </w:rPr>
        <w:t>-tym kraju,</w:t>
      </w:r>
    </w:p>
    <w:p w14:paraId="02A8CC48" w14:textId="77777777" w:rsidR="00287F9D" w:rsidRPr="00B824AA" w:rsidRDefault="00242DAD" w:rsidP="00287F9D">
      <w:pPr>
        <w:spacing w:line="360" w:lineRule="auto"/>
        <w:ind w:left="357"/>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m:t>
            </m:r>
            <m:r>
              <w:rPr>
                <w:rFonts w:ascii="Cambria Math" w:hAnsi="Cambria Math" w:cs="Times New Roman"/>
              </w:rPr>
              <m:t>h</m:t>
            </m:r>
            <m:r>
              <w:rPr>
                <w:rFonts w:ascii="Cambria Math" w:hAnsi="Cambria Math" w:cs="Times New Roman"/>
              </w:rPr>
              <m:t>j</m:t>
            </m:r>
          </m:sub>
          <m:sup>
            <m:r>
              <w:rPr>
                <w:rFonts w:ascii="Cambria Math" w:hAnsi="Cambria Math" w:cs="Times New Roman"/>
              </w:rPr>
              <m:t>s</m:t>
            </m:r>
          </m:sup>
        </m:sSubSup>
      </m:oMath>
      <w:r w:rsidR="00287F9D" w:rsidRPr="00B824AA">
        <w:rPr>
          <w:rFonts w:ascii="Times New Roman" w:hAnsi="Times New Roman" w:cs="Times New Roman"/>
        </w:rPr>
        <w:t xml:space="preserve"> </w:t>
      </w:r>
      <w:r w:rsidR="00287F9D" w:rsidRPr="00B824AA">
        <w:rPr>
          <w:rFonts w:ascii="Times New Roman" w:hAnsi="Times New Roman" w:cs="Times New Roman"/>
          <w:sz w:val="24"/>
          <w:szCs w:val="24"/>
        </w:rPr>
        <w:t xml:space="preserve">– wartość </w:t>
      </w:r>
      <w:r w:rsidR="00287F9D" w:rsidRPr="00B824AA">
        <w:rPr>
          <w:rFonts w:ascii="Times New Roman" w:hAnsi="Times New Roman" w:cs="Times New Roman"/>
          <w:i/>
          <w:iCs/>
          <w:sz w:val="24"/>
          <w:szCs w:val="24"/>
        </w:rPr>
        <w:t>j</w:t>
      </w:r>
      <w:r w:rsidR="00287F9D" w:rsidRPr="00B824AA">
        <w:rPr>
          <w:rFonts w:ascii="Times New Roman" w:hAnsi="Times New Roman" w:cs="Times New Roman"/>
          <w:sz w:val="24"/>
          <w:szCs w:val="24"/>
        </w:rPr>
        <w:t xml:space="preserve">-tego wskaźnika cząstkowego, po przekształceniu w </w:t>
      </w:r>
      <w:proofErr w:type="spellStart"/>
      <w:r w:rsidR="00287F9D" w:rsidRPr="00B824AA">
        <w:rPr>
          <w:rFonts w:ascii="Times New Roman" w:hAnsi="Times New Roman" w:cs="Times New Roman"/>
          <w:sz w:val="24"/>
          <w:szCs w:val="24"/>
        </w:rPr>
        <w:t>stymulantę</w:t>
      </w:r>
      <w:proofErr w:type="spellEnd"/>
      <w:r w:rsidR="00287F9D" w:rsidRPr="00B824AA">
        <w:rPr>
          <w:rFonts w:ascii="Times New Roman" w:hAnsi="Times New Roman" w:cs="Times New Roman"/>
          <w:sz w:val="24"/>
          <w:szCs w:val="24"/>
        </w:rPr>
        <w:t xml:space="preserve">, w </w:t>
      </w:r>
      <w:r w:rsidR="00287F9D" w:rsidRPr="00B824AA">
        <w:rPr>
          <w:rFonts w:ascii="Times New Roman" w:hAnsi="Times New Roman" w:cs="Times New Roman"/>
          <w:i/>
          <w:iCs/>
          <w:sz w:val="24"/>
          <w:szCs w:val="24"/>
        </w:rPr>
        <w:t>h</w:t>
      </w:r>
      <w:r w:rsidR="00287F9D" w:rsidRPr="00B824AA">
        <w:rPr>
          <w:rFonts w:ascii="Times New Roman" w:hAnsi="Times New Roman" w:cs="Times New Roman"/>
          <w:sz w:val="24"/>
          <w:szCs w:val="24"/>
        </w:rPr>
        <w:t xml:space="preserve">-tym wymiarze w </w:t>
      </w:r>
      <w:r w:rsidR="00287F9D" w:rsidRPr="00B824AA">
        <w:rPr>
          <w:rFonts w:ascii="Times New Roman" w:hAnsi="Times New Roman" w:cs="Times New Roman"/>
          <w:i/>
          <w:iCs/>
          <w:sz w:val="24"/>
          <w:szCs w:val="24"/>
        </w:rPr>
        <w:t>i</w:t>
      </w:r>
      <w:r w:rsidR="00287F9D" w:rsidRPr="00B824AA">
        <w:rPr>
          <w:rFonts w:ascii="Times New Roman" w:hAnsi="Times New Roman" w:cs="Times New Roman"/>
          <w:sz w:val="24"/>
          <w:szCs w:val="24"/>
        </w:rPr>
        <w:t>-tym kraju.</w:t>
      </w:r>
    </w:p>
    <w:p w14:paraId="20B1AADE" w14:textId="01B5BF73" w:rsidR="00287F9D" w:rsidRPr="00B824AA" w:rsidRDefault="00EA3005" w:rsidP="006A6ED6">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lastRenderedPageBreak/>
        <w:t>Przyjęto, że i</w:t>
      </w:r>
      <w:r w:rsidR="00287F9D" w:rsidRPr="00B824AA">
        <w:rPr>
          <w:rFonts w:ascii="Times New Roman" w:hAnsi="Times New Roman" w:cs="Times New Roman"/>
          <w:sz w:val="24"/>
          <w:szCs w:val="24"/>
        </w:rPr>
        <w:t>nformacje na temat wskaźników cząstkowych muszą być dostępne w</w:t>
      </w:r>
      <w:r w:rsidRPr="00B824AA">
        <w:rPr>
          <w:rFonts w:ascii="Times New Roman" w:hAnsi="Times New Roman" w:cs="Times New Roman"/>
          <w:sz w:val="24"/>
          <w:szCs w:val="24"/>
        </w:rPr>
        <w:t> </w:t>
      </w:r>
      <w:r w:rsidR="00287F9D" w:rsidRPr="00B824AA">
        <w:rPr>
          <w:rFonts w:ascii="Times New Roman" w:hAnsi="Times New Roman" w:cs="Times New Roman"/>
          <w:sz w:val="24"/>
          <w:szCs w:val="24"/>
        </w:rPr>
        <w:t>baz</w:t>
      </w:r>
      <w:r w:rsidRPr="00B824AA">
        <w:rPr>
          <w:rFonts w:ascii="Times New Roman" w:hAnsi="Times New Roman" w:cs="Times New Roman"/>
          <w:sz w:val="24"/>
          <w:szCs w:val="24"/>
        </w:rPr>
        <w:t>ie</w:t>
      </w:r>
      <w:r w:rsidR="00287F9D" w:rsidRPr="00B824AA">
        <w:rPr>
          <w:rFonts w:ascii="Times New Roman" w:hAnsi="Times New Roman" w:cs="Times New Roman"/>
          <w:sz w:val="24"/>
          <w:szCs w:val="24"/>
        </w:rPr>
        <w:t xml:space="preserve"> Eurostatu dla wszystkich krajów UE za lata 2010, 2015 i 2020</w:t>
      </w:r>
      <w:r w:rsidR="006A6ED6" w:rsidRPr="00B824AA">
        <w:rPr>
          <w:rFonts w:ascii="Times New Roman" w:hAnsi="Times New Roman" w:cs="Times New Roman"/>
          <w:sz w:val="24"/>
          <w:szCs w:val="24"/>
        </w:rPr>
        <w:t>, a następnie w każdym kolejnym roku</w:t>
      </w:r>
      <w:r w:rsidR="00287F9D" w:rsidRPr="00B824AA">
        <w:rPr>
          <w:rFonts w:ascii="Times New Roman" w:hAnsi="Times New Roman" w:cs="Times New Roman"/>
          <w:sz w:val="24"/>
          <w:szCs w:val="24"/>
        </w:rPr>
        <w:t xml:space="preserve"> (istnieje możliwość zastąpienia danego roku rokiem najbliższym)</w:t>
      </w:r>
      <w:r w:rsidR="006A6ED6" w:rsidRPr="00B824AA">
        <w:rPr>
          <w:rFonts w:ascii="Times New Roman" w:hAnsi="Times New Roman" w:cs="Times New Roman"/>
          <w:sz w:val="24"/>
          <w:szCs w:val="24"/>
        </w:rPr>
        <w:t xml:space="preserve"> lub innych porównywalnych międzynarodowo zestawienia. W raporcie zaprezentowane jest oszacowanie za lata 2010. 2015, 2020</w:t>
      </w:r>
      <w:r w:rsidR="000F104C">
        <w:rPr>
          <w:rFonts w:ascii="Times New Roman" w:hAnsi="Times New Roman" w:cs="Times New Roman"/>
          <w:sz w:val="24"/>
          <w:szCs w:val="24"/>
        </w:rPr>
        <w:t>,</w:t>
      </w:r>
      <w:r w:rsidR="006A6ED6" w:rsidRPr="00B824AA">
        <w:rPr>
          <w:rFonts w:ascii="Times New Roman" w:hAnsi="Times New Roman" w:cs="Times New Roman"/>
          <w:sz w:val="24"/>
          <w:szCs w:val="24"/>
        </w:rPr>
        <w:t xml:space="preserve"> 2021</w:t>
      </w:r>
      <w:r w:rsidR="000F104C">
        <w:rPr>
          <w:rFonts w:ascii="Times New Roman" w:hAnsi="Times New Roman" w:cs="Times New Roman"/>
          <w:sz w:val="24"/>
          <w:szCs w:val="24"/>
        </w:rPr>
        <w:t xml:space="preserve"> i 2022</w:t>
      </w:r>
      <w:r w:rsidR="006A6ED6" w:rsidRPr="00B824AA">
        <w:rPr>
          <w:rFonts w:ascii="Times New Roman" w:hAnsi="Times New Roman" w:cs="Times New Roman"/>
          <w:sz w:val="24"/>
          <w:szCs w:val="24"/>
        </w:rPr>
        <w:t xml:space="preserve">. </w:t>
      </w:r>
      <w:r w:rsidR="00D5181D" w:rsidRPr="00B824AA">
        <w:rPr>
          <w:rFonts w:ascii="Times New Roman" w:hAnsi="Times New Roman" w:cs="Times New Roman"/>
          <w:sz w:val="24"/>
          <w:szCs w:val="24"/>
        </w:rPr>
        <w:t>Definicje przyjętych</w:t>
      </w:r>
      <w:r w:rsidR="008E06C9" w:rsidRPr="00B824AA">
        <w:rPr>
          <w:rFonts w:ascii="Times New Roman" w:hAnsi="Times New Roman" w:cs="Times New Roman"/>
          <w:sz w:val="24"/>
          <w:szCs w:val="24"/>
        </w:rPr>
        <w:t xml:space="preserve"> wskaźników</w:t>
      </w:r>
      <w:r w:rsidR="00D5181D" w:rsidRPr="00B824AA">
        <w:rPr>
          <w:rFonts w:ascii="Times New Roman" w:hAnsi="Times New Roman" w:cs="Times New Roman"/>
          <w:sz w:val="24"/>
          <w:szCs w:val="24"/>
        </w:rPr>
        <w:t xml:space="preserve"> cząstkowych przedstawione są w tabeli A.1 w Aneksie.</w:t>
      </w:r>
    </w:p>
    <w:p w14:paraId="2E556556" w14:textId="574934C0" w:rsidR="00287F9D" w:rsidRPr="00B824AA" w:rsidRDefault="00287F9D" w:rsidP="006A6ED6">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Porównujemy grupy krajów ze względu na wskaźniki cząstkowe, wskaźniki grupowe (dla poszczególnych wymiarów) i wskaźnik syntetyczny (dla wszystkich wymiarów łącznie).</w:t>
      </w:r>
      <w:r w:rsidR="006A6ED6" w:rsidRPr="00B824AA">
        <w:rPr>
          <w:rFonts w:ascii="Times New Roman" w:hAnsi="Times New Roman" w:cs="Times New Roman"/>
          <w:sz w:val="24"/>
          <w:szCs w:val="24"/>
        </w:rPr>
        <w:t xml:space="preserve"> Prezentowane są trzy wartości wskaźnika:</w:t>
      </w:r>
    </w:p>
    <w:p w14:paraId="1D1D52A9" w14:textId="4C18B471" w:rsidR="00287F9D" w:rsidRPr="00B824AA" w:rsidRDefault="00287F9D" w:rsidP="006A6ED6">
      <w:pPr>
        <w:pStyle w:val="ListParagraph"/>
        <w:numPr>
          <w:ilvl w:val="0"/>
          <w:numId w:val="10"/>
        </w:num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Polska – kraje UE-2</w:t>
      </w:r>
      <w:r w:rsidR="006A6ED6" w:rsidRPr="00B824AA">
        <w:rPr>
          <w:rFonts w:ascii="Times New Roman" w:hAnsi="Times New Roman" w:cs="Times New Roman"/>
          <w:sz w:val="24"/>
          <w:szCs w:val="24"/>
        </w:rPr>
        <w:t>7</w:t>
      </w:r>
      <w:r w:rsidRPr="00B824AA">
        <w:rPr>
          <w:rFonts w:ascii="Times New Roman" w:hAnsi="Times New Roman" w:cs="Times New Roman"/>
          <w:sz w:val="24"/>
          <w:szCs w:val="24"/>
        </w:rPr>
        <w:t xml:space="preserve"> </w:t>
      </w:r>
      <w:r w:rsidR="00D55026" w:rsidRPr="00B824AA">
        <w:rPr>
          <w:rFonts w:ascii="Times New Roman" w:hAnsi="Times New Roman" w:cs="Times New Roman"/>
          <w:sz w:val="24"/>
          <w:szCs w:val="24"/>
        </w:rPr>
        <w:t>(b=1),</w:t>
      </w:r>
    </w:p>
    <w:p w14:paraId="08F8DCA3" w14:textId="6ACF2C10" w:rsidR="00287F9D" w:rsidRPr="00B824AA" w:rsidRDefault="00287F9D" w:rsidP="006A6ED6">
      <w:pPr>
        <w:pStyle w:val="ListParagraph"/>
        <w:numPr>
          <w:ilvl w:val="0"/>
          <w:numId w:val="10"/>
        </w:num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Polska –</w:t>
      </w:r>
      <w:r w:rsidR="006A6ED6" w:rsidRPr="00B824AA">
        <w:rPr>
          <w:rFonts w:ascii="Times New Roman" w:hAnsi="Times New Roman" w:cs="Times New Roman"/>
          <w:sz w:val="24"/>
          <w:szCs w:val="24"/>
        </w:rPr>
        <w:t xml:space="preserve"> 14 krajów członkowskich </w:t>
      </w:r>
      <w:r w:rsidRPr="00B824AA">
        <w:rPr>
          <w:rFonts w:ascii="Times New Roman" w:hAnsi="Times New Roman" w:cs="Times New Roman"/>
          <w:sz w:val="24"/>
          <w:szCs w:val="24"/>
        </w:rPr>
        <w:t xml:space="preserve">UE </w:t>
      </w:r>
      <w:r w:rsidR="006A6ED6" w:rsidRPr="00B824AA">
        <w:rPr>
          <w:rFonts w:ascii="Times New Roman" w:hAnsi="Times New Roman" w:cs="Times New Roman"/>
          <w:sz w:val="24"/>
          <w:szCs w:val="24"/>
        </w:rPr>
        <w:t xml:space="preserve">przed 2004 r. </w:t>
      </w:r>
      <w:r w:rsidR="00D55026" w:rsidRPr="00B824AA">
        <w:rPr>
          <w:rFonts w:ascii="Times New Roman" w:hAnsi="Times New Roman" w:cs="Times New Roman"/>
          <w:sz w:val="24"/>
          <w:szCs w:val="24"/>
        </w:rPr>
        <w:t>(b=2),</w:t>
      </w:r>
    </w:p>
    <w:p w14:paraId="4E351861" w14:textId="317762DE" w:rsidR="00287F9D" w:rsidRPr="00B824AA" w:rsidRDefault="00287F9D" w:rsidP="006A6ED6">
      <w:pPr>
        <w:pStyle w:val="ListParagraph"/>
        <w:numPr>
          <w:ilvl w:val="0"/>
          <w:numId w:val="10"/>
        </w:num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Polska – </w:t>
      </w:r>
      <w:r w:rsidR="006A6ED6" w:rsidRPr="00B824AA">
        <w:rPr>
          <w:rFonts w:ascii="Times New Roman" w:hAnsi="Times New Roman" w:cs="Times New Roman"/>
          <w:sz w:val="24"/>
          <w:szCs w:val="24"/>
        </w:rPr>
        <w:t>13 krajów które uzyskały członkostwo w EU w 2004 r. lub później</w:t>
      </w:r>
      <w:r w:rsidR="00D55026" w:rsidRPr="00B824AA">
        <w:rPr>
          <w:rFonts w:ascii="Times New Roman" w:hAnsi="Times New Roman" w:cs="Times New Roman"/>
          <w:sz w:val="24"/>
          <w:szCs w:val="24"/>
        </w:rPr>
        <w:t xml:space="preserve"> (b=3).</w:t>
      </w:r>
    </w:p>
    <w:p w14:paraId="65F51FCC" w14:textId="77777777" w:rsidR="00287F9D" w:rsidRPr="00B824AA" w:rsidRDefault="00287F9D" w:rsidP="00287F9D">
      <w:pPr>
        <w:pStyle w:val="ListParagraph"/>
        <w:spacing w:after="0" w:line="240" w:lineRule="auto"/>
        <w:ind w:left="357"/>
        <w:jc w:val="both"/>
        <w:rPr>
          <w:rFonts w:ascii="Times New Roman" w:hAnsi="Times New Roman" w:cs="Times New Roman"/>
          <w:sz w:val="24"/>
          <w:szCs w:val="24"/>
        </w:rPr>
      </w:pPr>
    </w:p>
    <w:p w14:paraId="1384A2B1" w14:textId="7F6A3C97" w:rsidR="00287F9D" w:rsidRPr="00B824AA" w:rsidRDefault="00287F9D" w:rsidP="00EA3005">
      <w:pPr>
        <w:spacing w:before="240"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Wskaźniki cząstkowe dla </w:t>
      </w:r>
      <w:r w:rsidR="006A6ED6" w:rsidRPr="00B824AA">
        <w:rPr>
          <w:rFonts w:ascii="Times New Roman" w:hAnsi="Times New Roman" w:cs="Times New Roman"/>
          <w:sz w:val="24"/>
          <w:szCs w:val="24"/>
        </w:rPr>
        <w:t xml:space="preserve">poszczególnych </w:t>
      </w:r>
      <w:r w:rsidRPr="00B824AA">
        <w:rPr>
          <w:rFonts w:ascii="Times New Roman" w:hAnsi="Times New Roman" w:cs="Times New Roman"/>
          <w:sz w:val="24"/>
          <w:szCs w:val="24"/>
        </w:rPr>
        <w:t>grup krajów szacowane są ważąc krajowe wskaźniki cząstkowe wagami odzwierciedlającymi znaczenie poszczególnych krajów, ze względu na dany wskaźnik cząstkowy, w rozważanej grupie krajów (np. wagami dla wskaźników cząstkowych z wymiaru zamożność są liczby gospodarstw domowych w poszczególnych krajach starej Unii).</w:t>
      </w:r>
    </w:p>
    <w:p w14:paraId="077F6516" w14:textId="4D125EFA" w:rsidR="006A6ED6" w:rsidRPr="00B824AA" w:rsidRDefault="006A6ED6" w:rsidP="00BA4D79">
      <w:pPr>
        <w:pStyle w:val="Heading2"/>
        <w:numPr>
          <w:ilvl w:val="1"/>
          <w:numId w:val="6"/>
        </w:numPr>
        <w:rPr>
          <w:rFonts w:ascii="Times New Roman" w:hAnsi="Times New Roman" w:cs="Times New Roman"/>
          <w:i/>
          <w:iCs/>
          <w:sz w:val="28"/>
          <w:szCs w:val="28"/>
        </w:rPr>
      </w:pPr>
      <w:bookmarkStart w:id="4" w:name="_Toc162905460"/>
      <w:r w:rsidRPr="00B824AA">
        <w:rPr>
          <w:rFonts w:ascii="Times New Roman" w:hAnsi="Times New Roman" w:cs="Times New Roman"/>
          <w:sz w:val="28"/>
          <w:szCs w:val="28"/>
        </w:rPr>
        <w:t xml:space="preserve">Konstrukcja wskaźników </w:t>
      </w:r>
      <w:proofErr w:type="spellStart"/>
      <w:r w:rsidR="009B2D4F">
        <w:rPr>
          <w:rFonts w:ascii="Times New Roman" w:hAnsi="Times New Roman" w:cs="Times New Roman"/>
          <w:i/>
          <w:iCs/>
          <w:sz w:val="28"/>
          <w:szCs w:val="28"/>
        </w:rPr>
        <w:t>catch-up</w:t>
      </w:r>
      <w:bookmarkEnd w:id="4"/>
      <w:proofErr w:type="spellEnd"/>
    </w:p>
    <w:p w14:paraId="2F1131B2" w14:textId="77777777" w:rsidR="00BA4D79" w:rsidRPr="00B824AA" w:rsidRDefault="00BA4D79" w:rsidP="006A6ED6">
      <w:pPr>
        <w:spacing w:line="360" w:lineRule="auto"/>
        <w:jc w:val="both"/>
        <w:rPr>
          <w:rFonts w:ascii="Times New Roman" w:hAnsi="Times New Roman" w:cs="Times New Roman"/>
          <w:b/>
          <w:bCs/>
          <w:sz w:val="24"/>
          <w:szCs w:val="24"/>
        </w:rPr>
      </w:pPr>
    </w:p>
    <w:p w14:paraId="69697645" w14:textId="5348E8A0" w:rsidR="00287F9D" w:rsidRPr="00B824AA" w:rsidRDefault="00287F9D" w:rsidP="00BA4D79">
      <w:pPr>
        <w:pStyle w:val="ListParagraph"/>
        <w:numPr>
          <w:ilvl w:val="0"/>
          <w:numId w:val="11"/>
        </w:numPr>
        <w:spacing w:line="360" w:lineRule="auto"/>
        <w:jc w:val="both"/>
        <w:rPr>
          <w:rFonts w:ascii="Times New Roman" w:hAnsi="Times New Roman" w:cs="Times New Roman"/>
          <w:b/>
          <w:bCs/>
          <w:sz w:val="24"/>
          <w:szCs w:val="24"/>
        </w:rPr>
      </w:pPr>
      <w:r w:rsidRPr="00B824AA">
        <w:rPr>
          <w:rFonts w:ascii="Times New Roman" w:hAnsi="Times New Roman" w:cs="Times New Roman"/>
          <w:b/>
          <w:bCs/>
          <w:sz w:val="24"/>
          <w:szCs w:val="24"/>
        </w:rPr>
        <w:t>Wskaźniki cząstkowe dla grup krajów</w:t>
      </w:r>
    </w:p>
    <w:p w14:paraId="0DEB2DA1" w14:textId="77EFF9CE" w:rsidR="00287F9D" w:rsidRPr="00B824AA" w:rsidRDefault="00287F9D" w:rsidP="00287F9D">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Wskaźniki cząstkowe dla każdej z grup krajów </w:t>
      </w:r>
      <w:r w:rsidR="00D55026" w:rsidRPr="00B824AA">
        <w:rPr>
          <w:rFonts w:ascii="Times New Roman" w:hAnsi="Times New Roman" w:cs="Times New Roman"/>
          <w:sz w:val="24"/>
          <w:szCs w:val="24"/>
        </w:rPr>
        <w:t xml:space="preserve">(b = </w:t>
      </w:r>
      <w:r w:rsidRPr="00B824AA">
        <w:rPr>
          <w:rFonts w:ascii="Times New Roman" w:hAnsi="Times New Roman" w:cs="Times New Roman"/>
          <w:sz w:val="24"/>
          <w:szCs w:val="24"/>
        </w:rPr>
        <w:t>1,2,3) obliczamy jako:</w:t>
      </w:r>
    </w:p>
    <w:p w14:paraId="124236EF" w14:textId="77777777" w:rsidR="00287F9D" w:rsidRPr="00B824AA" w:rsidRDefault="00287F9D" w:rsidP="00287F9D">
      <w:pPr>
        <w:spacing w:line="360" w:lineRule="auto"/>
        <w:jc w:val="both"/>
        <w:rPr>
          <w:rFonts w:ascii="Times New Roman" w:hAnsi="Times New Roman" w:cs="Times New Roman"/>
          <w:sz w:val="24"/>
        </w:rPr>
      </w:pPr>
      <w:r w:rsidRPr="00B824AA">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rPr>
              <m:t>x</m:t>
            </m:r>
          </m:e>
          <m:sub>
            <m:r>
              <w:rPr>
                <w:rFonts w:ascii="Cambria Math" w:hAnsi="Cambria Math" w:cs="Times New Roman"/>
                <w:sz w:val="24"/>
              </w:rPr>
              <m:t>bhj</m:t>
            </m:r>
          </m:sub>
          <m:sup/>
        </m:sSubSup>
        <m:r>
          <w:rPr>
            <w:rFonts w:ascii="Cambria Math" w:hAnsi="Cambria Math" w:cs="Times New Roman"/>
            <w:sz w:val="24"/>
          </w:rPr>
          <m:t>=</m:t>
        </m:r>
        <m:f>
          <m:fPr>
            <m:ctrlPr>
              <w:rPr>
                <w:rFonts w:ascii="Cambria Math" w:hAnsi="Cambria Math" w:cs="Times New Roman"/>
                <w:i/>
                <w:sz w:val="24"/>
                <w:szCs w:val="24"/>
              </w:rPr>
            </m:ctrlPr>
          </m:fPr>
          <m:num>
            <m:nary>
              <m:naryPr>
                <m:chr m:val="∑"/>
                <m:limLoc m:val="undOvr"/>
                <m:supHide m:val="1"/>
                <m:ctrlPr>
                  <w:rPr>
                    <w:rFonts w:ascii="Cambria Math" w:hAnsi="Cambria Math" w:cs="Times New Roman"/>
                    <w:i/>
                    <w:sz w:val="24"/>
                    <w:szCs w:val="24"/>
                  </w:rPr>
                </m:ctrlPr>
              </m:naryPr>
              <m:sub>
                <m:r>
                  <w:rPr>
                    <w:rFonts w:ascii="Cambria Math" w:hAnsi="Cambria Math" w:cs="Times New Roman"/>
                    <w:sz w:val="24"/>
                  </w:rPr>
                  <m:t>iϵb</m:t>
                </m:r>
              </m:sub>
              <m:sup/>
              <m:e>
                <m:sSub>
                  <m:sSubPr>
                    <m:ctrlPr>
                      <w:rPr>
                        <w:rFonts w:ascii="Cambria Math" w:hAnsi="Cambria Math" w:cs="Times New Roman"/>
                        <w:i/>
                        <w:sz w:val="24"/>
                        <w:szCs w:val="24"/>
                      </w:rPr>
                    </m:ctrlPr>
                  </m:sSubPr>
                  <m:e>
                    <m:r>
                      <w:rPr>
                        <w:rFonts w:ascii="Cambria Math" w:hAnsi="Cambria Math" w:cs="Times New Roman"/>
                        <w:sz w:val="24"/>
                      </w:rPr>
                      <m:t>x</m:t>
                    </m:r>
                  </m:e>
                  <m:sub>
                    <m:r>
                      <w:rPr>
                        <w:rFonts w:ascii="Cambria Math" w:hAnsi="Cambria Math" w:cs="Times New Roman"/>
                        <w:sz w:val="24"/>
                      </w:rPr>
                      <m:t>ihj∙</m:t>
                    </m:r>
                    <m:sSub>
                      <m:sSubPr>
                        <m:ctrlPr>
                          <w:rPr>
                            <w:rFonts w:ascii="Cambria Math" w:hAnsi="Cambria Math" w:cs="Times New Roman"/>
                            <w:i/>
                            <w:sz w:val="24"/>
                            <w:szCs w:val="24"/>
                          </w:rPr>
                        </m:ctrlPr>
                      </m:sSubPr>
                      <m:e>
                        <m:r>
                          <w:rPr>
                            <w:rFonts w:ascii="Cambria Math" w:hAnsi="Cambria Math" w:cs="Times New Roman"/>
                            <w:sz w:val="24"/>
                          </w:rPr>
                          <m:t>w</m:t>
                        </m:r>
                      </m:e>
                      <m:sub>
                        <m:r>
                          <w:rPr>
                            <w:rFonts w:ascii="Cambria Math" w:hAnsi="Cambria Math" w:cs="Times New Roman"/>
                            <w:sz w:val="24"/>
                          </w:rPr>
                          <m:t>ihj</m:t>
                        </m:r>
                      </m:sub>
                    </m:sSub>
                  </m:sub>
                </m:sSub>
              </m:e>
            </m:nary>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rPr>
                  <m:t>iϵb</m:t>
                </m:r>
              </m:sub>
              <m:sup/>
              <m:e>
                <m:sSub>
                  <m:sSubPr>
                    <m:ctrlPr>
                      <w:rPr>
                        <w:rFonts w:ascii="Cambria Math" w:hAnsi="Cambria Math" w:cs="Times New Roman"/>
                        <w:i/>
                        <w:sz w:val="24"/>
                        <w:szCs w:val="24"/>
                      </w:rPr>
                    </m:ctrlPr>
                  </m:sSubPr>
                  <m:e>
                    <m:r>
                      <w:rPr>
                        <w:rFonts w:ascii="Cambria Math" w:hAnsi="Cambria Math" w:cs="Times New Roman"/>
                        <w:sz w:val="24"/>
                      </w:rPr>
                      <m:t>w</m:t>
                    </m:r>
                  </m:e>
                  <m:sub>
                    <m:r>
                      <w:rPr>
                        <w:rFonts w:ascii="Cambria Math" w:hAnsi="Cambria Math" w:cs="Times New Roman"/>
                        <w:sz w:val="24"/>
                      </w:rPr>
                      <m:t>ihj</m:t>
                    </m:r>
                  </m:sub>
                </m:sSub>
              </m:e>
            </m:nary>
          </m:den>
        </m:f>
      </m:oMath>
      <w:r w:rsidRPr="00B824AA">
        <w:rPr>
          <w:rFonts w:ascii="Times New Roman" w:hAnsi="Times New Roman" w:cs="Times New Roman"/>
          <w:sz w:val="24"/>
        </w:rPr>
        <w:t>,</w:t>
      </w:r>
      <w:r w:rsidRPr="00B824AA">
        <w:rPr>
          <w:rFonts w:ascii="Times New Roman" w:hAnsi="Times New Roman" w:cs="Times New Roman"/>
          <w:sz w:val="24"/>
        </w:rPr>
        <w:tab/>
      </w:r>
      <w:r w:rsidRPr="00B824AA">
        <w:rPr>
          <w:rFonts w:ascii="Times New Roman" w:hAnsi="Times New Roman" w:cs="Times New Roman"/>
          <w:sz w:val="24"/>
        </w:rPr>
        <w:tab/>
      </w:r>
      <w:r w:rsidRPr="00B824AA">
        <w:rPr>
          <w:rFonts w:ascii="Times New Roman" w:hAnsi="Times New Roman" w:cs="Times New Roman"/>
          <w:sz w:val="24"/>
        </w:rPr>
        <w:tab/>
      </w:r>
      <w:r w:rsidRPr="00B824AA">
        <w:rPr>
          <w:rFonts w:ascii="Times New Roman" w:hAnsi="Times New Roman" w:cs="Times New Roman"/>
          <w:sz w:val="24"/>
        </w:rPr>
        <w:tab/>
      </w:r>
      <w:r w:rsidRPr="00B824AA">
        <w:rPr>
          <w:rFonts w:ascii="Times New Roman" w:hAnsi="Times New Roman" w:cs="Times New Roman"/>
          <w:sz w:val="24"/>
        </w:rPr>
        <w:tab/>
      </w:r>
      <w:r w:rsidRPr="00B824AA">
        <w:rPr>
          <w:rFonts w:ascii="Times New Roman" w:hAnsi="Times New Roman" w:cs="Times New Roman"/>
          <w:sz w:val="24"/>
        </w:rPr>
        <w:tab/>
      </w:r>
      <w:r w:rsidRPr="00B824AA">
        <w:rPr>
          <w:rFonts w:ascii="Times New Roman" w:hAnsi="Times New Roman" w:cs="Times New Roman"/>
          <w:sz w:val="24"/>
        </w:rPr>
        <w:tab/>
        <w:t>(2)</w:t>
      </w:r>
    </w:p>
    <w:p w14:paraId="11422035" w14:textId="77777777" w:rsidR="00287F9D" w:rsidRPr="00B824AA" w:rsidRDefault="00287F9D" w:rsidP="00287F9D">
      <w:pPr>
        <w:spacing w:after="0" w:line="360" w:lineRule="auto"/>
        <w:jc w:val="both"/>
        <w:rPr>
          <w:rFonts w:ascii="Times New Roman" w:hAnsi="Times New Roman" w:cs="Times New Roman"/>
          <w:sz w:val="24"/>
        </w:rPr>
      </w:pPr>
      <w:r w:rsidRPr="00B824AA">
        <w:rPr>
          <w:rFonts w:ascii="Times New Roman" w:hAnsi="Times New Roman" w:cs="Times New Roman"/>
          <w:sz w:val="24"/>
        </w:rPr>
        <w:t>gdzie:</w:t>
      </w:r>
    </w:p>
    <w:p w14:paraId="30DA3944" w14:textId="77777777" w:rsidR="00287F9D" w:rsidRPr="00B824AA" w:rsidRDefault="00242DAD" w:rsidP="00287F9D">
      <w:pPr>
        <w:spacing w:after="0" w:line="360" w:lineRule="auto"/>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b</m:t>
            </m:r>
            <m:r>
              <w:rPr>
                <w:rFonts w:ascii="Cambria Math" w:hAnsi="Cambria Math" w:cs="Times New Roman"/>
              </w:rPr>
              <m:t>h</m:t>
            </m:r>
            <m:r>
              <w:rPr>
                <w:rFonts w:ascii="Cambria Math" w:hAnsi="Cambria Math" w:cs="Times New Roman"/>
              </w:rPr>
              <m:t>j</m:t>
            </m:r>
          </m:sub>
          <m:sup/>
        </m:sSubSup>
        <m:r>
          <w:rPr>
            <w:rFonts w:ascii="Cambria Math" w:hAnsi="Cambria Math" w:cs="Times New Roman"/>
          </w:rPr>
          <m:t>-</m:t>
        </m:r>
        <m:r>
          <w:rPr>
            <w:rFonts w:ascii="Cambria Math" w:hAnsi="Cambria Math" w:cs="Times New Roman"/>
          </w:rPr>
          <m:t xml:space="preserve"> </m:t>
        </m:r>
      </m:oMath>
      <w:r w:rsidR="00287F9D" w:rsidRPr="00B824AA">
        <w:rPr>
          <w:rFonts w:ascii="Times New Roman" w:hAnsi="Times New Roman" w:cs="Times New Roman"/>
          <w:sz w:val="24"/>
          <w:szCs w:val="24"/>
        </w:rPr>
        <w:t xml:space="preserve">wartość </w:t>
      </w:r>
      <w:r w:rsidR="00287F9D" w:rsidRPr="00B824AA">
        <w:rPr>
          <w:rFonts w:ascii="Times New Roman" w:hAnsi="Times New Roman" w:cs="Times New Roman"/>
          <w:i/>
          <w:sz w:val="24"/>
          <w:szCs w:val="24"/>
        </w:rPr>
        <w:t>j</w:t>
      </w:r>
      <w:r w:rsidR="00287F9D" w:rsidRPr="00B824AA">
        <w:rPr>
          <w:rFonts w:ascii="Times New Roman" w:hAnsi="Times New Roman" w:cs="Times New Roman"/>
          <w:sz w:val="24"/>
          <w:szCs w:val="24"/>
        </w:rPr>
        <w:t xml:space="preserve">-tego wskaźnika cząstkowego w </w:t>
      </w:r>
      <w:r w:rsidR="00287F9D" w:rsidRPr="00B824AA">
        <w:rPr>
          <w:rFonts w:ascii="Times New Roman" w:hAnsi="Times New Roman" w:cs="Times New Roman"/>
          <w:i/>
          <w:sz w:val="24"/>
          <w:szCs w:val="24"/>
        </w:rPr>
        <w:t>h</w:t>
      </w:r>
      <w:r w:rsidR="00287F9D" w:rsidRPr="00B824AA">
        <w:rPr>
          <w:rFonts w:ascii="Times New Roman" w:hAnsi="Times New Roman" w:cs="Times New Roman"/>
          <w:sz w:val="24"/>
          <w:szCs w:val="24"/>
        </w:rPr>
        <w:t xml:space="preserve">-tym wymiarze dla </w:t>
      </w:r>
      <w:r w:rsidR="00287F9D" w:rsidRPr="00B824AA">
        <w:rPr>
          <w:rFonts w:ascii="Times New Roman" w:hAnsi="Times New Roman" w:cs="Times New Roman"/>
          <w:i/>
          <w:iCs/>
          <w:sz w:val="24"/>
          <w:szCs w:val="24"/>
        </w:rPr>
        <w:t>b</w:t>
      </w:r>
      <w:r w:rsidR="00287F9D" w:rsidRPr="00B824AA">
        <w:rPr>
          <w:rFonts w:ascii="Times New Roman" w:hAnsi="Times New Roman" w:cs="Times New Roman"/>
          <w:sz w:val="24"/>
          <w:szCs w:val="24"/>
        </w:rPr>
        <w:t>-tej grupy krajów,</w:t>
      </w:r>
    </w:p>
    <w:p w14:paraId="3ED3BF65" w14:textId="77777777" w:rsidR="00287F9D" w:rsidRPr="00B824AA" w:rsidRDefault="00242DAD" w:rsidP="00287F9D">
      <w:pPr>
        <w:spacing w:line="360" w:lineRule="auto"/>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i</m:t>
            </m:r>
            <m:r>
              <w:rPr>
                <w:rFonts w:ascii="Cambria Math" w:hAnsi="Cambria Math" w:cs="Times New Roman"/>
              </w:rPr>
              <m:t>h</m:t>
            </m:r>
            <m:r>
              <w:rPr>
                <w:rFonts w:ascii="Cambria Math" w:hAnsi="Cambria Math" w:cs="Times New Roman"/>
              </w:rPr>
              <m:t>j</m:t>
            </m:r>
          </m:sub>
          <m:sup/>
        </m:sSubSup>
        <m:r>
          <w:rPr>
            <w:rFonts w:ascii="Cambria Math" w:hAnsi="Cambria Math" w:cs="Times New Roman"/>
          </w:rPr>
          <m:t xml:space="preserve"> </m:t>
        </m:r>
      </m:oMath>
      <w:r w:rsidR="00287F9D" w:rsidRPr="00B824AA">
        <w:rPr>
          <w:rFonts w:ascii="Times New Roman" w:hAnsi="Times New Roman" w:cs="Times New Roman"/>
          <w:sz w:val="24"/>
          <w:szCs w:val="24"/>
        </w:rPr>
        <w:t xml:space="preserve">– waga </w:t>
      </w:r>
      <w:r w:rsidR="00287F9D" w:rsidRPr="00B824AA">
        <w:rPr>
          <w:rFonts w:ascii="Times New Roman" w:hAnsi="Times New Roman" w:cs="Times New Roman"/>
          <w:i/>
          <w:sz w:val="24"/>
          <w:szCs w:val="24"/>
        </w:rPr>
        <w:t>j</w:t>
      </w:r>
      <w:r w:rsidR="00287F9D" w:rsidRPr="00B824AA">
        <w:rPr>
          <w:rFonts w:ascii="Times New Roman" w:hAnsi="Times New Roman" w:cs="Times New Roman"/>
          <w:sz w:val="24"/>
          <w:szCs w:val="24"/>
        </w:rPr>
        <w:t xml:space="preserve">-tego wskaźnika cząstkowego z </w:t>
      </w:r>
      <w:r w:rsidR="00287F9D" w:rsidRPr="00B824AA">
        <w:rPr>
          <w:rFonts w:ascii="Times New Roman" w:hAnsi="Times New Roman" w:cs="Times New Roman"/>
          <w:i/>
          <w:sz w:val="24"/>
          <w:szCs w:val="24"/>
        </w:rPr>
        <w:t>h</w:t>
      </w:r>
      <w:r w:rsidR="00287F9D" w:rsidRPr="00B824AA">
        <w:rPr>
          <w:rFonts w:ascii="Times New Roman" w:hAnsi="Times New Roman" w:cs="Times New Roman"/>
          <w:sz w:val="24"/>
          <w:szCs w:val="24"/>
        </w:rPr>
        <w:t xml:space="preserve">-tego wymiarze dla </w:t>
      </w:r>
      <w:r w:rsidR="00287F9D" w:rsidRPr="00B824AA">
        <w:rPr>
          <w:rFonts w:ascii="Times New Roman" w:hAnsi="Times New Roman" w:cs="Times New Roman"/>
          <w:i/>
          <w:iCs/>
          <w:sz w:val="24"/>
          <w:szCs w:val="24"/>
        </w:rPr>
        <w:t>b</w:t>
      </w:r>
      <w:r w:rsidR="00287F9D" w:rsidRPr="00B824AA">
        <w:rPr>
          <w:rFonts w:ascii="Times New Roman" w:hAnsi="Times New Roman" w:cs="Times New Roman"/>
          <w:sz w:val="24"/>
          <w:szCs w:val="24"/>
        </w:rPr>
        <w:t>-tej grupy krajów.</w:t>
      </w:r>
    </w:p>
    <w:p w14:paraId="5C62496D" w14:textId="2EB935F8" w:rsidR="00287F9D" w:rsidRPr="00B824AA" w:rsidRDefault="00287F9D" w:rsidP="00BA4D79">
      <w:pPr>
        <w:pStyle w:val="ListParagraph"/>
        <w:numPr>
          <w:ilvl w:val="0"/>
          <w:numId w:val="11"/>
        </w:numPr>
        <w:spacing w:line="360" w:lineRule="auto"/>
        <w:jc w:val="both"/>
        <w:rPr>
          <w:rFonts w:ascii="Times New Roman" w:hAnsi="Times New Roman" w:cs="Times New Roman"/>
          <w:b/>
          <w:i/>
          <w:iCs/>
          <w:sz w:val="24"/>
          <w:szCs w:val="24"/>
        </w:rPr>
      </w:pPr>
      <w:r w:rsidRPr="00B824AA">
        <w:rPr>
          <w:rFonts w:ascii="Times New Roman" w:hAnsi="Times New Roman" w:cs="Times New Roman"/>
          <w:b/>
          <w:sz w:val="24"/>
          <w:szCs w:val="24"/>
        </w:rPr>
        <w:t xml:space="preserve">Wskaźniki cząstkowe </w:t>
      </w:r>
      <w:proofErr w:type="spellStart"/>
      <w:r w:rsidRPr="00B824AA">
        <w:rPr>
          <w:rFonts w:ascii="Times New Roman" w:hAnsi="Times New Roman" w:cs="Times New Roman"/>
          <w:b/>
          <w:i/>
          <w:iCs/>
          <w:sz w:val="24"/>
          <w:szCs w:val="24"/>
        </w:rPr>
        <w:t>catch</w:t>
      </w:r>
      <w:r w:rsidR="000F104C">
        <w:rPr>
          <w:rFonts w:ascii="Times New Roman" w:hAnsi="Times New Roman" w:cs="Times New Roman"/>
          <w:b/>
          <w:i/>
          <w:iCs/>
          <w:sz w:val="24"/>
          <w:szCs w:val="24"/>
        </w:rPr>
        <w:t>-</w:t>
      </w:r>
      <w:r w:rsidRPr="00B824AA">
        <w:rPr>
          <w:rFonts w:ascii="Times New Roman" w:hAnsi="Times New Roman" w:cs="Times New Roman"/>
          <w:b/>
          <w:i/>
          <w:iCs/>
          <w:sz w:val="24"/>
          <w:szCs w:val="24"/>
        </w:rPr>
        <w:t>up</w:t>
      </w:r>
      <w:proofErr w:type="spellEnd"/>
    </w:p>
    <w:p w14:paraId="41A7BC3B" w14:textId="23D004E5" w:rsidR="00287F9D" w:rsidRPr="00B824AA" w:rsidRDefault="00287F9D" w:rsidP="00287F9D">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Obliczamy wskaźniki</w:t>
      </w:r>
      <w:r w:rsidR="008612F1">
        <w:rPr>
          <w:rFonts w:ascii="Times New Roman" w:hAnsi="Times New Roman" w:cs="Times New Roman"/>
          <w:sz w:val="24"/>
          <w:szCs w:val="24"/>
        </w:rPr>
        <w:t xml:space="preserve"> cząstkowe</w:t>
      </w:r>
      <w:r w:rsidRPr="00B824AA">
        <w:rPr>
          <w:rFonts w:ascii="Times New Roman" w:hAnsi="Times New Roman" w:cs="Times New Roman"/>
          <w:sz w:val="24"/>
          <w:szCs w:val="24"/>
        </w:rPr>
        <w:t xml:space="preserve"> </w:t>
      </w:r>
      <w:proofErr w:type="spellStart"/>
      <w:r w:rsidRPr="00B824AA">
        <w:rPr>
          <w:rFonts w:ascii="Times New Roman" w:hAnsi="Times New Roman" w:cs="Times New Roman"/>
          <w:i/>
          <w:iCs/>
          <w:sz w:val="24"/>
          <w:szCs w:val="24"/>
        </w:rPr>
        <w:t>catch</w:t>
      </w:r>
      <w:r w:rsidR="000F104C">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sz w:val="24"/>
          <w:szCs w:val="24"/>
        </w:rPr>
        <w:t xml:space="preserve"> dla Polski stosując ich normalizację za pomocą przekształcenia ilorazowego o postaci:</w:t>
      </w:r>
    </w:p>
    <w:p w14:paraId="5AECF0E8" w14:textId="74D9651A" w:rsidR="00287F9D" w:rsidRPr="00B824AA" w:rsidRDefault="00242DAD" w:rsidP="00287F9D">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rPr>
              <m:t>z</m:t>
            </m:r>
          </m:e>
          <m:sub>
            <m:r>
              <w:rPr>
                <w:rFonts w:ascii="Cambria Math" w:hAnsi="Cambria Math" w:cs="Times New Roman"/>
                <w:sz w:val="24"/>
              </w:rPr>
              <m:t>P</m:t>
            </m:r>
            <m:r>
              <w:rPr>
                <w:rFonts w:ascii="Cambria Math" w:hAnsi="Cambria Math" w:cs="Times New Roman"/>
                <w:sz w:val="24"/>
              </w:rPr>
              <m:t>h</m:t>
            </m:r>
            <m:r>
              <w:rPr>
                <w:rFonts w:ascii="Cambria Math" w:hAnsi="Cambria Math" w:cs="Times New Roman"/>
                <w:sz w:val="24"/>
              </w:rPr>
              <m:t>j</m:t>
            </m:r>
          </m:sub>
        </m:sSub>
        <m:r>
          <w:rPr>
            <w:rFonts w:ascii="Cambria Math" w:hAnsi="Cambria Math" w:cs="Times New Roman"/>
            <w:sz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rPr>
                  <m:t>x</m:t>
                </m:r>
              </m:e>
              <m:sub>
                <m:r>
                  <w:rPr>
                    <w:rFonts w:ascii="Cambria Math" w:hAnsi="Cambria Math" w:cs="Times New Roman"/>
                    <w:sz w:val="24"/>
                  </w:rPr>
                  <m:t>P</m:t>
                </m:r>
                <m:r>
                  <w:rPr>
                    <w:rFonts w:ascii="Cambria Math" w:hAnsi="Cambria Math" w:cs="Times New Roman"/>
                    <w:sz w:val="24"/>
                  </w:rPr>
                  <m:t>h</m:t>
                </m:r>
                <m:r>
                  <w:rPr>
                    <w:rFonts w:ascii="Cambria Math" w:hAnsi="Cambria Math" w:cs="Times New Roman"/>
                    <w:sz w:val="24"/>
                  </w:rPr>
                  <m:t>j</m:t>
                </m:r>
              </m:sub>
            </m:sSub>
          </m:num>
          <m:den>
            <m:sSubSup>
              <m:sSubSupPr>
                <m:ctrlPr>
                  <w:rPr>
                    <w:rFonts w:ascii="Cambria Math" w:hAnsi="Cambria Math" w:cs="Times New Roman"/>
                    <w:i/>
                    <w:sz w:val="24"/>
                    <w:szCs w:val="24"/>
                  </w:rPr>
                </m:ctrlPr>
              </m:sSubSupPr>
              <m:e>
                <m:r>
                  <w:rPr>
                    <w:rFonts w:ascii="Cambria Math" w:hAnsi="Cambria Math" w:cs="Times New Roman"/>
                    <w:sz w:val="24"/>
                  </w:rPr>
                  <m:t>x</m:t>
                </m:r>
              </m:e>
              <m:sub>
                <m:r>
                  <w:rPr>
                    <w:rFonts w:ascii="Cambria Math" w:hAnsi="Cambria Math" w:cs="Times New Roman"/>
                    <w:sz w:val="24"/>
                  </w:rPr>
                  <m:t>h</m:t>
                </m:r>
                <m:r>
                  <w:rPr>
                    <w:rFonts w:ascii="Cambria Math" w:hAnsi="Cambria Math" w:cs="Times New Roman"/>
                    <w:sz w:val="24"/>
                  </w:rPr>
                  <m:t>j</m:t>
                </m:r>
              </m:sub>
              <m:sup>
                <m:r>
                  <w:rPr>
                    <w:rFonts w:ascii="Cambria Math" w:hAnsi="Cambria Math" w:cs="Times New Roman"/>
                    <w:sz w:val="24"/>
                  </w:rPr>
                  <m:t>b</m:t>
                </m:r>
              </m:sup>
            </m:sSubSup>
          </m:den>
        </m:f>
        <m:r>
          <w:rPr>
            <w:rFonts w:ascii="Cambria Math" w:hAnsi="Cambria Math" w:cs="Times New Roman"/>
            <w:sz w:val="24"/>
          </w:rPr>
          <m:t>.100%</m:t>
        </m:r>
      </m:oMath>
      <w:r w:rsidR="00287F9D" w:rsidRPr="00B824AA">
        <w:rPr>
          <w:rFonts w:ascii="Times New Roman" w:hAnsi="Times New Roman" w:cs="Times New Roman"/>
          <w:sz w:val="24"/>
        </w:rPr>
        <w:t>,</w:t>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t>b=1,2,3</w:t>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t>(3)</w:t>
      </w:r>
    </w:p>
    <w:p w14:paraId="4EE2ED71" w14:textId="77777777" w:rsidR="00287F9D" w:rsidRPr="00B824AA" w:rsidRDefault="00287F9D" w:rsidP="00287F9D">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72BBD6DF" w14:textId="77777777" w:rsidR="00287F9D" w:rsidRPr="00B824AA" w:rsidRDefault="00242DAD" w:rsidP="00287F9D">
      <w:pPr>
        <w:spacing w:after="0" w:line="360" w:lineRule="auto"/>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P</m:t>
            </m:r>
            <m:r>
              <w:rPr>
                <w:rFonts w:ascii="Cambria Math" w:hAnsi="Cambria Math" w:cs="Times New Roman"/>
              </w:rPr>
              <m:t>h</m:t>
            </m:r>
            <m:r>
              <w:rPr>
                <w:rFonts w:ascii="Cambria Math" w:hAnsi="Cambria Math" w:cs="Times New Roman"/>
              </w:rPr>
              <m:t>j</m:t>
            </m:r>
          </m:sub>
          <m:sup/>
        </m:sSubSup>
        <m:r>
          <w:rPr>
            <w:rFonts w:ascii="Cambria Math" w:hAnsi="Cambria Math" w:cs="Times New Roman"/>
          </w:rPr>
          <m:t>-</m:t>
        </m:r>
        <m:r>
          <w:rPr>
            <w:rFonts w:ascii="Cambria Math" w:hAnsi="Cambria Math" w:cs="Times New Roman"/>
          </w:rPr>
          <m:t xml:space="preserve"> </m:t>
        </m:r>
      </m:oMath>
      <w:r w:rsidR="00287F9D" w:rsidRPr="00B824AA">
        <w:rPr>
          <w:rFonts w:ascii="Times New Roman" w:hAnsi="Times New Roman" w:cs="Times New Roman"/>
          <w:sz w:val="24"/>
          <w:szCs w:val="24"/>
        </w:rPr>
        <w:t xml:space="preserve">wartość surowego </w:t>
      </w:r>
      <w:r w:rsidR="00287F9D" w:rsidRPr="00B824AA">
        <w:rPr>
          <w:rFonts w:ascii="Times New Roman" w:hAnsi="Times New Roman" w:cs="Times New Roman"/>
          <w:i/>
          <w:sz w:val="24"/>
          <w:szCs w:val="24"/>
        </w:rPr>
        <w:t>j</w:t>
      </w:r>
      <w:r w:rsidR="00287F9D" w:rsidRPr="00B824AA">
        <w:rPr>
          <w:rFonts w:ascii="Times New Roman" w:hAnsi="Times New Roman" w:cs="Times New Roman"/>
          <w:sz w:val="24"/>
          <w:szCs w:val="24"/>
        </w:rPr>
        <w:t xml:space="preserve">-tego wskaźnika cząstkowego w </w:t>
      </w:r>
      <w:r w:rsidR="00287F9D" w:rsidRPr="00B824AA">
        <w:rPr>
          <w:rFonts w:ascii="Times New Roman" w:hAnsi="Times New Roman" w:cs="Times New Roman"/>
          <w:i/>
          <w:sz w:val="24"/>
          <w:szCs w:val="24"/>
        </w:rPr>
        <w:t>h</w:t>
      </w:r>
      <w:r w:rsidR="00287F9D" w:rsidRPr="00B824AA">
        <w:rPr>
          <w:rFonts w:ascii="Times New Roman" w:hAnsi="Times New Roman" w:cs="Times New Roman"/>
          <w:sz w:val="24"/>
          <w:szCs w:val="24"/>
        </w:rPr>
        <w:t>-tym wymiarze dla Polski,</w:t>
      </w:r>
    </w:p>
    <w:p w14:paraId="2B2F2C83" w14:textId="77777777" w:rsidR="00287F9D" w:rsidRPr="00B824AA" w:rsidRDefault="00242DAD" w:rsidP="00287F9D">
      <w:pPr>
        <w:spacing w:line="360" w:lineRule="auto"/>
        <w:jc w:val="both"/>
        <w:rPr>
          <w:rFonts w:ascii="Times New Roman" w:hAnsi="Times New Roman" w:cs="Times New Roman"/>
          <w:sz w:val="24"/>
          <w:szCs w:val="24"/>
        </w:rPr>
      </w:pP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h</m:t>
            </m:r>
            <m:r>
              <w:rPr>
                <w:rFonts w:ascii="Cambria Math" w:hAnsi="Cambria Math" w:cs="Times New Roman"/>
              </w:rPr>
              <m:t>j</m:t>
            </m:r>
          </m:sub>
          <m:sup>
            <m:r>
              <w:rPr>
                <w:rFonts w:ascii="Cambria Math" w:hAnsi="Cambria Math" w:cs="Times New Roman"/>
              </w:rPr>
              <m:t>b</m:t>
            </m:r>
          </m:sup>
        </m:sSubSup>
      </m:oMath>
      <w:r w:rsidR="00287F9D" w:rsidRPr="00B824AA">
        <w:rPr>
          <w:rFonts w:ascii="Times New Roman" w:hAnsi="Times New Roman" w:cs="Times New Roman"/>
          <w:sz w:val="24"/>
          <w:szCs w:val="24"/>
        </w:rPr>
        <w:t xml:space="preserve"> – wartość </w:t>
      </w:r>
      <w:r w:rsidR="00287F9D" w:rsidRPr="00B824AA">
        <w:rPr>
          <w:rFonts w:ascii="Times New Roman" w:hAnsi="Times New Roman" w:cs="Times New Roman"/>
          <w:i/>
          <w:sz w:val="24"/>
          <w:szCs w:val="24"/>
        </w:rPr>
        <w:t>j</w:t>
      </w:r>
      <w:r w:rsidR="00287F9D" w:rsidRPr="00B824AA">
        <w:rPr>
          <w:rFonts w:ascii="Times New Roman" w:hAnsi="Times New Roman" w:cs="Times New Roman"/>
          <w:sz w:val="24"/>
          <w:szCs w:val="24"/>
        </w:rPr>
        <w:t xml:space="preserve">-tego wskaźnika cząstkowego z </w:t>
      </w:r>
      <w:r w:rsidR="00287F9D" w:rsidRPr="00B824AA">
        <w:rPr>
          <w:rFonts w:ascii="Times New Roman" w:hAnsi="Times New Roman" w:cs="Times New Roman"/>
          <w:i/>
          <w:sz w:val="24"/>
          <w:szCs w:val="24"/>
        </w:rPr>
        <w:t>h</w:t>
      </w:r>
      <w:r w:rsidR="00287F9D" w:rsidRPr="00B824AA">
        <w:rPr>
          <w:rFonts w:ascii="Times New Roman" w:hAnsi="Times New Roman" w:cs="Times New Roman"/>
          <w:sz w:val="24"/>
          <w:szCs w:val="24"/>
        </w:rPr>
        <w:t>-tego wymiaru w grupie krajów stanowiących punkt odniesienia (benchmark).</w:t>
      </w:r>
    </w:p>
    <w:p w14:paraId="4BCB6F09" w14:textId="27B7B33C" w:rsidR="00287F9D" w:rsidRPr="00B824AA" w:rsidRDefault="00287F9D" w:rsidP="00BA4D79">
      <w:pPr>
        <w:pStyle w:val="ListParagraph"/>
        <w:numPr>
          <w:ilvl w:val="0"/>
          <w:numId w:val="11"/>
        </w:numPr>
        <w:spacing w:line="360" w:lineRule="auto"/>
        <w:jc w:val="both"/>
        <w:rPr>
          <w:rFonts w:ascii="Times New Roman" w:hAnsi="Times New Roman" w:cs="Times New Roman"/>
          <w:b/>
          <w:sz w:val="24"/>
          <w:szCs w:val="24"/>
        </w:rPr>
      </w:pPr>
      <w:r w:rsidRPr="00B824AA">
        <w:rPr>
          <w:rFonts w:ascii="Times New Roman" w:hAnsi="Times New Roman" w:cs="Times New Roman"/>
          <w:b/>
          <w:sz w:val="24"/>
          <w:szCs w:val="24"/>
        </w:rPr>
        <w:t xml:space="preserve">Wskaźniki grupowe (dla wymiarów) </w:t>
      </w:r>
      <w:proofErr w:type="spellStart"/>
      <w:r w:rsidR="009B2D4F">
        <w:rPr>
          <w:rFonts w:ascii="Times New Roman" w:hAnsi="Times New Roman" w:cs="Times New Roman"/>
          <w:b/>
          <w:i/>
          <w:iCs/>
          <w:sz w:val="24"/>
          <w:szCs w:val="24"/>
        </w:rPr>
        <w:t>catch-up</w:t>
      </w:r>
      <w:proofErr w:type="spellEnd"/>
    </w:p>
    <w:p w14:paraId="566F971E" w14:textId="08056B8F" w:rsidR="00287F9D" w:rsidRPr="00B824AA" w:rsidRDefault="00287F9D" w:rsidP="00287F9D">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Agregujemy wskaźniki cząstkowe </w:t>
      </w:r>
      <w:proofErr w:type="spellStart"/>
      <w:r w:rsidR="009B2D4F">
        <w:rPr>
          <w:rFonts w:ascii="Times New Roman" w:hAnsi="Times New Roman" w:cs="Times New Roman"/>
          <w:sz w:val="24"/>
          <w:szCs w:val="24"/>
        </w:rPr>
        <w:t>catch-up</w:t>
      </w:r>
      <w:proofErr w:type="spellEnd"/>
      <w:r w:rsidRPr="00B824AA">
        <w:rPr>
          <w:rFonts w:ascii="Times New Roman" w:hAnsi="Times New Roman" w:cs="Times New Roman"/>
          <w:sz w:val="24"/>
          <w:szCs w:val="24"/>
        </w:rPr>
        <w:t xml:space="preserve"> dla Polski w ramach danego wymiaru za pomocą formuły średniej geometrycznej nieważonej:</w:t>
      </w:r>
    </w:p>
    <w:p w14:paraId="1205347D" w14:textId="77777777" w:rsidR="00287F9D" w:rsidRPr="00B824AA" w:rsidRDefault="00242DAD" w:rsidP="00287F9D">
      <w:pPr>
        <w:spacing w:line="360" w:lineRule="auto"/>
        <w:ind w:left="708" w:firstLine="708"/>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rPr>
              <m:t>z</m:t>
            </m:r>
          </m:e>
          <m:sub>
            <m:r>
              <w:rPr>
                <w:rFonts w:ascii="Cambria Math" w:hAnsi="Cambria Math" w:cs="Times New Roman"/>
                <w:sz w:val="24"/>
              </w:rPr>
              <m:t>P</m:t>
            </m:r>
            <m:r>
              <w:rPr>
                <w:rFonts w:ascii="Cambria Math" w:hAnsi="Cambria Math" w:cs="Times New Roman"/>
                <w:sz w:val="24"/>
              </w:rPr>
              <m:t>h</m:t>
            </m:r>
          </m:sub>
        </m:sSub>
        <m:r>
          <w:rPr>
            <w:rFonts w:ascii="Cambria Math" w:hAnsi="Cambria Math" w:cs="Times New Roman"/>
            <w:sz w:val="24"/>
          </w:rPr>
          <m:t>=</m:t>
        </m:r>
        <m:nary>
          <m:naryPr>
            <m:chr m:val="∏"/>
            <m:ctrlPr>
              <w:rPr>
                <w:rFonts w:ascii="Cambria Math" w:hAnsi="Cambria Math" w:cs="Times New Roman"/>
                <w:i/>
                <w:sz w:val="24"/>
                <w:szCs w:val="24"/>
              </w:rPr>
            </m:ctrlPr>
          </m:naryPr>
          <m:sub>
            <m:r>
              <w:rPr>
                <w:rFonts w:ascii="Cambria Math" w:hAnsi="Cambria Math" w:cs="Times New Roman"/>
                <w:sz w:val="24"/>
              </w:rPr>
              <m:t>j</m:t>
            </m:r>
            <m:r>
              <w:rPr>
                <w:rFonts w:ascii="Cambria Math" w:hAnsi="Cambria Math" w:cs="Times New Roman"/>
                <w:sz w:val="24"/>
              </w:rPr>
              <m:t>=1</m:t>
            </m:r>
          </m:sub>
          <m:sup>
            <m:sSub>
              <m:sSubPr>
                <m:ctrlPr>
                  <w:rPr>
                    <w:rFonts w:ascii="Cambria Math" w:hAnsi="Cambria Math" w:cs="Times New Roman"/>
                    <w:i/>
                    <w:sz w:val="24"/>
                    <w:szCs w:val="24"/>
                  </w:rPr>
                </m:ctrlPr>
              </m:sSubPr>
              <m:e>
                <m:r>
                  <w:rPr>
                    <w:rFonts w:ascii="Cambria Math" w:hAnsi="Cambria Math" w:cs="Times New Roman"/>
                    <w:sz w:val="24"/>
                  </w:rPr>
                  <m:t>k</m:t>
                </m:r>
              </m:e>
              <m:sub>
                <m:r>
                  <w:rPr>
                    <w:rFonts w:ascii="Cambria Math" w:hAnsi="Cambria Math" w:cs="Times New Roman"/>
                    <w:sz w:val="24"/>
                  </w:rPr>
                  <m:t>h</m:t>
                </m:r>
              </m:sub>
            </m:sSub>
          </m:sup>
          <m:e>
            <m:sSub>
              <m:sSubPr>
                <m:ctrlPr>
                  <w:rPr>
                    <w:rFonts w:ascii="Cambria Math" w:hAnsi="Cambria Math" w:cs="Times New Roman"/>
                    <w:i/>
                    <w:sz w:val="24"/>
                    <w:szCs w:val="24"/>
                  </w:rPr>
                </m:ctrlPr>
              </m:sSubPr>
              <m:e>
                <m:r>
                  <w:rPr>
                    <w:rFonts w:ascii="Cambria Math" w:hAnsi="Cambria Math" w:cs="Times New Roman"/>
                    <w:sz w:val="24"/>
                  </w:rPr>
                  <m:t>z</m:t>
                </m:r>
              </m:e>
              <m:sub>
                <m:r>
                  <w:rPr>
                    <w:rFonts w:ascii="Cambria Math" w:hAnsi="Cambria Math" w:cs="Times New Roman"/>
                    <w:sz w:val="24"/>
                  </w:rPr>
                  <m:t>P</m:t>
                </m:r>
                <m:r>
                  <w:rPr>
                    <w:rFonts w:ascii="Cambria Math" w:hAnsi="Cambria Math" w:cs="Times New Roman"/>
                    <w:sz w:val="24"/>
                  </w:rPr>
                  <m:t>h</m:t>
                </m:r>
                <m:r>
                  <w:rPr>
                    <w:rFonts w:ascii="Cambria Math" w:hAnsi="Cambria Math" w:cs="Times New Roman"/>
                    <w:sz w:val="24"/>
                  </w:rPr>
                  <m:t>j</m:t>
                </m:r>
              </m:sub>
            </m:sSub>
          </m:e>
        </m:nary>
      </m:oMath>
      <w:r w:rsidR="00287F9D" w:rsidRPr="00B824AA">
        <w:rPr>
          <w:rFonts w:ascii="Times New Roman" w:hAnsi="Times New Roman" w:cs="Times New Roman"/>
          <w:sz w:val="24"/>
        </w:rPr>
        <w:t>,</w:t>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t>(4)</w:t>
      </w:r>
    </w:p>
    <w:p w14:paraId="6CBB6A09" w14:textId="77777777" w:rsidR="00287F9D" w:rsidRPr="00B824AA" w:rsidRDefault="00287F9D" w:rsidP="00287F9D">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6CDFD82C" w14:textId="77777777" w:rsidR="00287F9D" w:rsidRPr="00B824AA" w:rsidRDefault="00242DAD" w:rsidP="00287F9D">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rPr>
              <m:t>z</m:t>
            </m:r>
          </m:e>
          <m:sub>
            <m:r>
              <w:rPr>
                <w:rFonts w:ascii="Cambria Math" w:hAnsi="Cambria Math" w:cs="Times New Roman"/>
                <w:sz w:val="24"/>
              </w:rPr>
              <m:t>P</m:t>
            </m:r>
            <m:r>
              <w:rPr>
                <w:rFonts w:ascii="Cambria Math" w:hAnsi="Cambria Math" w:cs="Times New Roman"/>
                <w:sz w:val="24"/>
              </w:rPr>
              <m:t>h</m:t>
            </m:r>
          </m:sub>
        </m:sSub>
      </m:oMath>
      <w:r w:rsidR="00287F9D" w:rsidRPr="00B824AA">
        <w:rPr>
          <w:rFonts w:ascii="Times New Roman" w:hAnsi="Times New Roman" w:cs="Times New Roman"/>
          <w:sz w:val="24"/>
          <w:szCs w:val="24"/>
        </w:rPr>
        <w:t xml:space="preserve"> – wartość wskaźnika grupowego dla </w:t>
      </w:r>
      <w:r w:rsidR="00287F9D" w:rsidRPr="00B824AA">
        <w:rPr>
          <w:rFonts w:ascii="Times New Roman" w:hAnsi="Times New Roman" w:cs="Times New Roman"/>
          <w:i/>
          <w:sz w:val="24"/>
          <w:szCs w:val="24"/>
        </w:rPr>
        <w:t>h</w:t>
      </w:r>
      <w:r w:rsidR="00287F9D" w:rsidRPr="00B824AA">
        <w:rPr>
          <w:rFonts w:ascii="Times New Roman" w:hAnsi="Times New Roman" w:cs="Times New Roman"/>
          <w:sz w:val="24"/>
          <w:szCs w:val="24"/>
        </w:rPr>
        <w:t>-tego wymiaru dla Polski.</w:t>
      </w:r>
    </w:p>
    <w:p w14:paraId="62750864" w14:textId="77777777" w:rsidR="00287F9D" w:rsidRPr="00B824AA" w:rsidRDefault="00287F9D" w:rsidP="00287F9D">
      <w:pPr>
        <w:spacing w:before="240"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UWAGI:</w:t>
      </w:r>
    </w:p>
    <w:p w14:paraId="3ECFE0A2" w14:textId="77777777" w:rsidR="00287F9D" w:rsidRPr="00B824AA" w:rsidRDefault="00287F9D" w:rsidP="00287F9D">
      <w:pPr>
        <w:pStyle w:val="ListParagraph"/>
        <w:numPr>
          <w:ilvl w:val="0"/>
          <w:numId w:val="5"/>
        </w:numPr>
        <w:spacing w:after="0" w:line="360" w:lineRule="auto"/>
        <w:ind w:left="357" w:hanging="357"/>
        <w:jc w:val="both"/>
        <w:rPr>
          <w:rFonts w:ascii="Times New Roman" w:hAnsi="Times New Roman" w:cs="Times New Roman"/>
          <w:sz w:val="24"/>
          <w:szCs w:val="24"/>
        </w:rPr>
      </w:pPr>
      <w:r w:rsidRPr="00B824AA">
        <w:rPr>
          <w:rFonts w:ascii="Times New Roman" w:hAnsi="Times New Roman" w:cs="Times New Roman"/>
          <w:sz w:val="24"/>
          <w:szCs w:val="24"/>
        </w:rPr>
        <w:t>Agregacja wskaźników za pomocą najczęściej stosowanej w praktyce średniej arytmetycznej prowadzi do uzyskania nieobciążonych wskaźników złożonych wyłącznie wtedy gdy wskaźniki cząstkowe są wzajemnie preferencyjnie niezależne, tzn. nieskorelowane. W praktyce wskaźniki cząstkowe są zawsze skorelowane.</w:t>
      </w:r>
    </w:p>
    <w:p w14:paraId="47E98DCE" w14:textId="4C91EF97" w:rsidR="00287F9D" w:rsidRPr="00B824AA" w:rsidRDefault="00287F9D" w:rsidP="00287F9D">
      <w:pPr>
        <w:pStyle w:val="ListParagraph"/>
        <w:numPr>
          <w:ilvl w:val="0"/>
          <w:numId w:val="5"/>
        </w:numPr>
        <w:spacing w:after="0" w:line="360" w:lineRule="auto"/>
        <w:ind w:left="357" w:hanging="357"/>
        <w:jc w:val="both"/>
        <w:rPr>
          <w:rFonts w:ascii="Times New Roman" w:hAnsi="Times New Roman" w:cs="Times New Roman"/>
          <w:sz w:val="24"/>
          <w:szCs w:val="24"/>
        </w:rPr>
      </w:pPr>
      <w:r w:rsidRPr="00B824AA">
        <w:rPr>
          <w:rFonts w:ascii="Times New Roman" w:hAnsi="Times New Roman" w:cs="Times New Roman"/>
          <w:sz w:val="24"/>
          <w:szCs w:val="24"/>
        </w:rPr>
        <w:t>Wartości wskaźnika złożonego (u nas grupow</w:t>
      </w:r>
      <w:r w:rsidR="00315118">
        <w:rPr>
          <w:rFonts w:ascii="Times New Roman" w:hAnsi="Times New Roman" w:cs="Times New Roman"/>
          <w:sz w:val="24"/>
          <w:szCs w:val="24"/>
        </w:rPr>
        <w:t>ego</w:t>
      </w:r>
      <w:r w:rsidRPr="00B824AA">
        <w:rPr>
          <w:rFonts w:ascii="Times New Roman" w:hAnsi="Times New Roman" w:cs="Times New Roman"/>
          <w:sz w:val="24"/>
          <w:szCs w:val="24"/>
        </w:rPr>
        <w:t>) przy zastosowaniu metody agregacji geometrycznej z relatywnie niskimi wartościami niektórych agregowanych wskaźników (u nas wskaźników cząstkowych) będą niższe niż przy zastosowaniu metody agregacji liniowej (średniej arytmetycznej). Jednocześnie wartość wskaźnika grupowego obliczanego na podstawie średniej geometrycznej, przy tych samych wartościach absolutnych wskaźników cząstkowych o niskich wartościach, będzie rosła szybciej niż przy stosowaniu średniej arytmetycznej. Wybór pomiędzy formułą średniej arytmetycznej i średniej geometrycznej odzwierciedla wagę, jaką nadajemy zmianom wartości absolutnych wskaźników cząstkowych na różnych ich poziomach (zmianom ich wartości krańcowych). Dokonując tego wyboru, musimy sobie odpowiedzieć na dwa pytania. Po pierwsze, czy znaczenie (udziały) wskaźników cząstkowych w</w:t>
      </w:r>
      <w:r w:rsidR="00EC3348" w:rsidRPr="00B824AA">
        <w:rPr>
          <w:rFonts w:ascii="Times New Roman" w:hAnsi="Times New Roman" w:cs="Times New Roman"/>
          <w:sz w:val="24"/>
          <w:szCs w:val="24"/>
        </w:rPr>
        <w:t> </w:t>
      </w:r>
      <w:r w:rsidRPr="00B824AA">
        <w:rPr>
          <w:rFonts w:ascii="Times New Roman" w:hAnsi="Times New Roman" w:cs="Times New Roman"/>
          <w:sz w:val="24"/>
          <w:szCs w:val="24"/>
        </w:rPr>
        <w:t>konstrukcji danego wskaźnika grupowego powinno być proporcjonalne do ich wartości absolutnych oraz, po drugie, czy zmiany wartości wskaźników cząstkowych są tak samo ważne na różnych poziomach wartości tych wskaźników w kontekście ocenianego zjawiska.</w:t>
      </w:r>
    </w:p>
    <w:p w14:paraId="65F1E157" w14:textId="77777777" w:rsidR="00287F9D" w:rsidRPr="00B824AA" w:rsidRDefault="00287F9D" w:rsidP="00287F9D">
      <w:pPr>
        <w:pStyle w:val="ListParagraph"/>
        <w:spacing w:after="0" w:line="360" w:lineRule="auto"/>
        <w:ind w:left="357"/>
        <w:jc w:val="both"/>
        <w:rPr>
          <w:rFonts w:ascii="Times New Roman" w:hAnsi="Times New Roman" w:cs="Times New Roman"/>
          <w:sz w:val="24"/>
          <w:szCs w:val="24"/>
        </w:rPr>
      </w:pPr>
    </w:p>
    <w:p w14:paraId="0B5EA7B7" w14:textId="3616BD5E" w:rsidR="00287F9D" w:rsidRPr="00B824AA" w:rsidRDefault="00287F9D" w:rsidP="00BA4D79">
      <w:pPr>
        <w:pStyle w:val="ListParagraph"/>
        <w:numPr>
          <w:ilvl w:val="0"/>
          <w:numId w:val="11"/>
        </w:numPr>
        <w:spacing w:line="360" w:lineRule="auto"/>
        <w:jc w:val="both"/>
        <w:rPr>
          <w:rFonts w:ascii="Times New Roman" w:hAnsi="Times New Roman" w:cs="Times New Roman"/>
          <w:b/>
          <w:sz w:val="24"/>
          <w:szCs w:val="24"/>
        </w:rPr>
      </w:pPr>
      <w:r w:rsidRPr="00B824AA">
        <w:rPr>
          <w:rFonts w:ascii="Times New Roman" w:hAnsi="Times New Roman" w:cs="Times New Roman"/>
          <w:b/>
          <w:sz w:val="24"/>
          <w:szCs w:val="24"/>
        </w:rPr>
        <w:t xml:space="preserve">Wskaźniki syntetyczne </w:t>
      </w:r>
      <w:proofErr w:type="spellStart"/>
      <w:r w:rsidRPr="00B824AA">
        <w:rPr>
          <w:rFonts w:ascii="Times New Roman" w:hAnsi="Times New Roman" w:cs="Times New Roman"/>
          <w:b/>
          <w:i/>
          <w:iCs/>
          <w:sz w:val="24"/>
          <w:szCs w:val="24"/>
        </w:rPr>
        <w:t>catch</w:t>
      </w:r>
      <w:r w:rsidR="000F104C">
        <w:rPr>
          <w:rFonts w:ascii="Times New Roman" w:hAnsi="Times New Roman" w:cs="Times New Roman"/>
          <w:b/>
          <w:i/>
          <w:iCs/>
          <w:sz w:val="24"/>
          <w:szCs w:val="24"/>
        </w:rPr>
        <w:t>-</w:t>
      </w:r>
      <w:r w:rsidRPr="00B824AA">
        <w:rPr>
          <w:rFonts w:ascii="Times New Roman" w:hAnsi="Times New Roman" w:cs="Times New Roman"/>
          <w:b/>
          <w:i/>
          <w:iCs/>
          <w:sz w:val="24"/>
          <w:szCs w:val="24"/>
        </w:rPr>
        <w:t>up</w:t>
      </w:r>
      <w:proofErr w:type="spellEnd"/>
    </w:p>
    <w:p w14:paraId="4954DA8B" w14:textId="369FA1AE" w:rsidR="00287F9D" w:rsidRPr="00B824AA" w:rsidRDefault="00287F9D" w:rsidP="00287F9D">
      <w:pPr>
        <w:spacing w:before="240"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Obliczamy wskaźniki syntetyczne </w:t>
      </w:r>
      <w:proofErr w:type="spellStart"/>
      <w:r w:rsidRPr="00B824AA">
        <w:rPr>
          <w:rFonts w:ascii="Times New Roman" w:hAnsi="Times New Roman" w:cs="Times New Roman"/>
          <w:i/>
          <w:iCs/>
          <w:sz w:val="24"/>
          <w:szCs w:val="24"/>
        </w:rPr>
        <w:t>catch</w:t>
      </w:r>
      <w:r w:rsidR="000F104C">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i/>
          <w:iCs/>
          <w:sz w:val="24"/>
          <w:szCs w:val="24"/>
        </w:rPr>
        <w:t xml:space="preserve"> </w:t>
      </w:r>
      <w:r w:rsidRPr="00B824AA">
        <w:rPr>
          <w:rFonts w:ascii="Times New Roman" w:hAnsi="Times New Roman" w:cs="Times New Roman"/>
          <w:sz w:val="24"/>
          <w:szCs w:val="24"/>
        </w:rPr>
        <w:t>dla Polski za pomocą formuły średniej geometrycznej ważonej:</w:t>
      </w:r>
    </w:p>
    <w:p w14:paraId="5750CFC6" w14:textId="77777777" w:rsidR="00287F9D" w:rsidRPr="00B824AA" w:rsidRDefault="00242DAD" w:rsidP="00287F9D">
      <w:pPr>
        <w:spacing w:before="240" w:line="360" w:lineRule="auto"/>
        <w:ind w:left="708" w:firstLine="708"/>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rPr>
              <m:t>z</m:t>
            </m:r>
          </m:e>
          <m:sub>
            <m:r>
              <w:rPr>
                <w:rFonts w:ascii="Cambria Math" w:hAnsi="Cambria Math" w:cs="Times New Roman"/>
                <w:sz w:val="24"/>
              </w:rPr>
              <m:t>P</m:t>
            </m:r>
          </m:sub>
          <m:sup>
            <m:r>
              <w:rPr>
                <w:rFonts w:ascii="Cambria Math" w:hAnsi="Cambria Math" w:cs="Times New Roman"/>
                <w:sz w:val="24"/>
              </w:rPr>
              <m:t>S</m:t>
            </m:r>
          </m:sup>
        </m:sSubSup>
        <m:r>
          <w:rPr>
            <w:rFonts w:ascii="Cambria Math" w:hAnsi="Cambria Math" w:cs="Times New Roman"/>
            <w:sz w:val="24"/>
          </w:rPr>
          <m:t>=</m:t>
        </m:r>
        <m:nary>
          <m:naryPr>
            <m:chr m:val="∏"/>
            <m:ctrlPr>
              <w:rPr>
                <w:rFonts w:ascii="Cambria Math" w:hAnsi="Cambria Math" w:cs="Times New Roman"/>
                <w:i/>
                <w:sz w:val="24"/>
                <w:szCs w:val="24"/>
              </w:rPr>
            </m:ctrlPr>
          </m:naryPr>
          <m:sub>
            <m:r>
              <w:rPr>
                <w:rFonts w:ascii="Cambria Math" w:hAnsi="Cambria Math" w:cs="Times New Roman"/>
                <w:sz w:val="24"/>
              </w:rPr>
              <m:t>h</m:t>
            </m:r>
            <m:r>
              <w:rPr>
                <w:rFonts w:ascii="Cambria Math" w:hAnsi="Cambria Math" w:cs="Times New Roman"/>
                <w:sz w:val="24"/>
              </w:rPr>
              <m:t>=1</m:t>
            </m:r>
          </m:sub>
          <m:sup>
            <m:r>
              <w:rPr>
                <w:rFonts w:ascii="Cambria Math" w:hAnsi="Cambria Math" w:cs="Times New Roman"/>
                <w:sz w:val="24"/>
              </w:rPr>
              <m:t>m</m:t>
            </m:r>
          </m:sup>
          <m:e>
            <m:sSubSup>
              <m:sSubSupPr>
                <m:ctrlPr>
                  <w:rPr>
                    <w:rFonts w:ascii="Cambria Math" w:hAnsi="Cambria Math" w:cs="Times New Roman"/>
                    <w:i/>
                    <w:sz w:val="24"/>
                    <w:szCs w:val="24"/>
                  </w:rPr>
                </m:ctrlPr>
              </m:sSubSupPr>
              <m:e>
                <m:r>
                  <w:rPr>
                    <w:rFonts w:ascii="Cambria Math" w:hAnsi="Cambria Math" w:cs="Times New Roman"/>
                    <w:sz w:val="24"/>
                  </w:rPr>
                  <m:t>z</m:t>
                </m:r>
              </m:e>
              <m:sub>
                <m:r>
                  <w:rPr>
                    <w:rFonts w:ascii="Cambria Math" w:hAnsi="Cambria Math" w:cs="Times New Roman"/>
                    <w:sz w:val="24"/>
                  </w:rPr>
                  <m:t>P</m:t>
                </m:r>
                <m:r>
                  <w:rPr>
                    <w:rFonts w:ascii="Cambria Math" w:hAnsi="Cambria Math" w:cs="Times New Roman"/>
                    <w:sz w:val="24"/>
                  </w:rPr>
                  <m:t>h</m:t>
                </m:r>
              </m:sub>
              <m:sup>
                <m:sSub>
                  <m:sSubPr>
                    <m:ctrlPr>
                      <w:rPr>
                        <w:rFonts w:ascii="Cambria Math" w:hAnsi="Cambria Math" w:cs="Times New Roman"/>
                        <w:i/>
                        <w:sz w:val="24"/>
                        <w:szCs w:val="24"/>
                      </w:rPr>
                    </m:ctrlPr>
                  </m:sSubPr>
                  <m:e>
                    <m:r>
                      <w:rPr>
                        <w:rFonts w:ascii="Cambria Math" w:hAnsi="Cambria Math" w:cs="Times New Roman"/>
                        <w:sz w:val="24"/>
                      </w:rPr>
                      <m:t>w</m:t>
                    </m:r>
                  </m:e>
                  <m:sub>
                    <m:r>
                      <w:rPr>
                        <w:rFonts w:ascii="Cambria Math" w:hAnsi="Cambria Math" w:cs="Times New Roman"/>
                        <w:sz w:val="24"/>
                      </w:rPr>
                      <m:t>h</m:t>
                    </m:r>
                  </m:sub>
                </m:sSub>
              </m:sup>
            </m:sSubSup>
          </m:e>
        </m:nary>
      </m:oMath>
      <w:r w:rsidR="00287F9D" w:rsidRPr="00B824AA">
        <w:rPr>
          <w:rFonts w:ascii="Times New Roman" w:hAnsi="Times New Roman" w:cs="Times New Roman"/>
          <w:sz w:val="24"/>
        </w:rPr>
        <w:t>,</w:t>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r>
      <w:r w:rsidR="00287F9D" w:rsidRPr="00B824AA">
        <w:rPr>
          <w:rFonts w:ascii="Times New Roman" w:hAnsi="Times New Roman" w:cs="Times New Roman"/>
          <w:sz w:val="24"/>
        </w:rPr>
        <w:tab/>
        <w:t>(5)</w:t>
      </w:r>
    </w:p>
    <w:p w14:paraId="523FD17F" w14:textId="77777777" w:rsidR="00287F9D" w:rsidRPr="00B824AA" w:rsidRDefault="00287F9D" w:rsidP="00287F9D">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7554C48F" w14:textId="77777777" w:rsidR="00287F9D" w:rsidRPr="00B824AA" w:rsidRDefault="00287F9D" w:rsidP="00287F9D">
      <w:pPr>
        <w:spacing w:line="360" w:lineRule="auto"/>
        <w:jc w:val="both"/>
        <w:rPr>
          <w:rFonts w:ascii="Times New Roman" w:hAnsi="Times New Roman" w:cs="Times New Roman"/>
          <w:sz w:val="24"/>
          <w:szCs w:val="24"/>
        </w:rPr>
      </w:pPr>
      <w:proofErr w:type="spellStart"/>
      <w:r w:rsidRPr="00B824AA">
        <w:rPr>
          <w:rFonts w:ascii="Times New Roman" w:hAnsi="Times New Roman" w:cs="Times New Roman"/>
          <w:i/>
          <w:sz w:val="24"/>
          <w:szCs w:val="24"/>
        </w:rPr>
        <w:t>w</w:t>
      </w:r>
      <w:r w:rsidRPr="00B824AA">
        <w:rPr>
          <w:rFonts w:ascii="Times New Roman" w:hAnsi="Times New Roman" w:cs="Times New Roman"/>
          <w:i/>
          <w:sz w:val="24"/>
          <w:szCs w:val="24"/>
          <w:vertAlign w:val="subscript"/>
        </w:rPr>
        <w:t>h</w:t>
      </w:r>
      <w:proofErr w:type="spellEnd"/>
      <w:r w:rsidRPr="00B824AA">
        <w:rPr>
          <w:rFonts w:ascii="Times New Roman" w:hAnsi="Times New Roman" w:cs="Times New Roman"/>
          <w:sz w:val="24"/>
          <w:szCs w:val="24"/>
        </w:rPr>
        <w:t xml:space="preserve"> – waga </w:t>
      </w:r>
      <w:r w:rsidRPr="00B824AA">
        <w:rPr>
          <w:rFonts w:ascii="Times New Roman" w:hAnsi="Times New Roman" w:cs="Times New Roman"/>
          <w:i/>
          <w:sz w:val="24"/>
          <w:szCs w:val="24"/>
        </w:rPr>
        <w:t>h</w:t>
      </w:r>
      <w:r w:rsidRPr="00B824AA">
        <w:rPr>
          <w:rFonts w:ascii="Times New Roman" w:hAnsi="Times New Roman" w:cs="Times New Roman"/>
          <w:sz w:val="24"/>
          <w:szCs w:val="24"/>
        </w:rPr>
        <w:t>-tego wskaźnika grupowego.</w:t>
      </w:r>
    </w:p>
    <w:p w14:paraId="50059078" w14:textId="1FC247F2" w:rsidR="00287F9D" w:rsidRPr="00B824AA" w:rsidRDefault="00287F9D" w:rsidP="00287F9D">
      <w:pPr>
        <w:spacing w:before="240" w:line="360" w:lineRule="auto"/>
        <w:jc w:val="both"/>
        <w:rPr>
          <w:rFonts w:ascii="Times New Roman" w:hAnsi="Times New Roman" w:cs="Times New Roman"/>
          <w:sz w:val="24"/>
          <w:szCs w:val="24"/>
        </w:rPr>
      </w:pPr>
      <w:r w:rsidRPr="00B824AA">
        <w:rPr>
          <w:rFonts w:ascii="Times New Roman" w:hAnsi="Times New Roman" w:cs="Times New Roman"/>
          <w:sz w:val="24"/>
          <w:szCs w:val="24"/>
        </w:rPr>
        <w:t>Wagi wskaźników grupowych szacowane są za pomocą szeroko stosowanej w praktyce jednej z metod wielokryterialnych analiz decyzyjnych</w:t>
      </w:r>
      <w:r w:rsidR="00EC3348" w:rsidRPr="00B824AA">
        <w:rPr>
          <w:rFonts w:ascii="Times New Roman" w:hAnsi="Times New Roman" w:cs="Times New Roman"/>
          <w:sz w:val="24"/>
          <w:szCs w:val="24"/>
        </w:rPr>
        <w:t xml:space="preserve"> - </w:t>
      </w:r>
      <w:r w:rsidRPr="00B824AA">
        <w:rPr>
          <w:rFonts w:ascii="Times New Roman" w:hAnsi="Times New Roman" w:cs="Times New Roman"/>
          <w:sz w:val="24"/>
          <w:szCs w:val="24"/>
        </w:rPr>
        <w:t>metody analizy hierarchicznej.</w:t>
      </w:r>
    </w:p>
    <w:p w14:paraId="4C30D20C" w14:textId="77777777" w:rsidR="00EC3348" w:rsidRPr="00B824AA" w:rsidRDefault="00EC3348" w:rsidP="00287F9D">
      <w:pPr>
        <w:spacing w:before="240" w:line="360" w:lineRule="auto"/>
        <w:jc w:val="both"/>
        <w:rPr>
          <w:rFonts w:ascii="Times New Roman" w:hAnsi="Times New Roman" w:cs="Times New Roman"/>
          <w:sz w:val="24"/>
          <w:szCs w:val="24"/>
        </w:rPr>
      </w:pPr>
    </w:p>
    <w:p w14:paraId="0DF1E980" w14:textId="5FDD8929" w:rsidR="0091284C" w:rsidRPr="00B824AA" w:rsidRDefault="0091284C" w:rsidP="00BA4D79">
      <w:pPr>
        <w:pStyle w:val="Heading2"/>
        <w:numPr>
          <w:ilvl w:val="1"/>
          <w:numId w:val="6"/>
        </w:numPr>
        <w:rPr>
          <w:rFonts w:ascii="Times New Roman" w:hAnsi="Times New Roman" w:cs="Times New Roman"/>
          <w:sz w:val="28"/>
          <w:szCs w:val="28"/>
        </w:rPr>
      </w:pPr>
      <w:bookmarkStart w:id="5" w:name="_Toc162905461"/>
      <w:r w:rsidRPr="00B824AA">
        <w:rPr>
          <w:rFonts w:ascii="Times New Roman" w:hAnsi="Times New Roman" w:cs="Times New Roman"/>
          <w:sz w:val="28"/>
          <w:szCs w:val="28"/>
        </w:rPr>
        <w:t>Zastosowanie metody analizy hierarchicznej do wyznaczania wag grupowych wskaźników poziomu rozwoju społecznego</w:t>
      </w:r>
      <w:bookmarkEnd w:id="5"/>
    </w:p>
    <w:p w14:paraId="15068443" w14:textId="77777777" w:rsidR="00BA4D79" w:rsidRPr="00B824AA" w:rsidRDefault="00BA4D79" w:rsidP="00BA4D79">
      <w:pPr>
        <w:spacing w:after="0" w:line="360" w:lineRule="auto"/>
        <w:jc w:val="both"/>
        <w:rPr>
          <w:rFonts w:ascii="Times New Roman" w:hAnsi="Times New Roman" w:cs="Times New Roman"/>
          <w:sz w:val="24"/>
          <w:szCs w:val="24"/>
        </w:rPr>
      </w:pPr>
    </w:p>
    <w:p w14:paraId="14978794" w14:textId="23C5E5CB" w:rsidR="0091284C" w:rsidRPr="00B824AA" w:rsidRDefault="0091284C" w:rsidP="00BA4D79">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Metoda analizy hierarchicznej (</w:t>
      </w:r>
      <w:proofErr w:type="spellStart"/>
      <w:r w:rsidRPr="00B824AA">
        <w:rPr>
          <w:rFonts w:ascii="Times New Roman" w:hAnsi="Times New Roman" w:cs="Times New Roman"/>
          <w:i/>
          <w:sz w:val="24"/>
          <w:szCs w:val="24"/>
        </w:rPr>
        <w:t>Analytic</w:t>
      </w:r>
      <w:proofErr w:type="spellEnd"/>
      <w:r w:rsidRPr="00B824AA">
        <w:rPr>
          <w:rFonts w:ascii="Times New Roman" w:hAnsi="Times New Roman" w:cs="Times New Roman"/>
          <w:i/>
          <w:sz w:val="24"/>
          <w:szCs w:val="24"/>
        </w:rPr>
        <w:t xml:space="preserve"> Hierarchy </w:t>
      </w:r>
      <w:proofErr w:type="spellStart"/>
      <w:r w:rsidRPr="00B824AA">
        <w:rPr>
          <w:rFonts w:ascii="Times New Roman" w:hAnsi="Times New Roman" w:cs="Times New Roman"/>
          <w:i/>
          <w:sz w:val="24"/>
          <w:szCs w:val="24"/>
        </w:rPr>
        <w:t>Process</w:t>
      </w:r>
      <w:proofErr w:type="spellEnd"/>
      <w:r w:rsidRPr="00B824AA">
        <w:rPr>
          <w:rFonts w:ascii="Times New Roman" w:hAnsi="Times New Roman" w:cs="Times New Roman"/>
          <w:sz w:val="24"/>
          <w:szCs w:val="24"/>
        </w:rPr>
        <w:t xml:space="preserve">, AHP) jest szeroko stosowaną </w:t>
      </w:r>
      <w:r w:rsidRPr="00736A5E">
        <w:rPr>
          <w:rFonts w:ascii="Times New Roman" w:hAnsi="Times New Roman" w:cs="Times New Roman"/>
          <w:sz w:val="24"/>
          <w:szCs w:val="24"/>
        </w:rPr>
        <w:t>w</w:t>
      </w:r>
      <w:r w:rsidR="00BA4D79" w:rsidRPr="00736A5E">
        <w:rPr>
          <w:rFonts w:ascii="Times New Roman" w:hAnsi="Times New Roman" w:cs="Times New Roman"/>
          <w:sz w:val="24"/>
          <w:szCs w:val="24"/>
        </w:rPr>
        <w:t> </w:t>
      </w:r>
      <w:r w:rsidRPr="00736A5E">
        <w:rPr>
          <w:rFonts w:ascii="Times New Roman" w:hAnsi="Times New Roman" w:cs="Times New Roman"/>
          <w:sz w:val="24"/>
          <w:szCs w:val="24"/>
        </w:rPr>
        <w:t>praktyce metodą wielokryterialnych analiz decyzyjnych (</w:t>
      </w:r>
      <w:proofErr w:type="spellStart"/>
      <w:r w:rsidRPr="00736A5E">
        <w:rPr>
          <w:rFonts w:ascii="Times New Roman" w:hAnsi="Times New Roman" w:cs="Times New Roman"/>
          <w:sz w:val="24"/>
          <w:szCs w:val="24"/>
        </w:rPr>
        <w:t>Saaty</w:t>
      </w:r>
      <w:proofErr w:type="spellEnd"/>
      <w:r w:rsidRPr="00736A5E">
        <w:rPr>
          <w:rFonts w:ascii="Times New Roman" w:hAnsi="Times New Roman" w:cs="Times New Roman"/>
          <w:sz w:val="24"/>
          <w:szCs w:val="24"/>
        </w:rPr>
        <w:t>, 1980, 1987). Umożliwia ona</w:t>
      </w:r>
      <w:r w:rsidRPr="00B824AA">
        <w:rPr>
          <w:rFonts w:ascii="Times New Roman" w:hAnsi="Times New Roman" w:cs="Times New Roman"/>
          <w:sz w:val="24"/>
          <w:szCs w:val="24"/>
        </w:rPr>
        <w:t xml:space="preserve"> uporządkowanie problemu decyzyjnego w formie struktury hierarchicznej oraz przyporządkowanie poszczególnym kryteriom wag. AHP pozwala na redukcję złożonych wyborów do serii prostych porównań parami.</w:t>
      </w:r>
    </w:p>
    <w:p w14:paraId="143900F6" w14:textId="37BDE66D" w:rsidR="0091284C" w:rsidRDefault="0091284C" w:rsidP="00BA4D79">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 przypadku zastosowania metody AHP do wyznaczania wag wskaźników grupowych </w:t>
      </w:r>
      <w:proofErr w:type="spellStart"/>
      <w:r w:rsidRPr="00B824AA">
        <w:rPr>
          <w:rFonts w:ascii="Times New Roman" w:hAnsi="Times New Roman" w:cs="Times New Roman"/>
          <w:i/>
          <w:iCs/>
          <w:sz w:val="24"/>
          <w:szCs w:val="24"/>
        </w:rPr>
        <w:t>catch</w:t>
      </w:r>
      <w:r w:rsidR="000F104C">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i/>
          <w:iCs/>
          <w:sz w:val="24"/>
          <w:szCs w:val="24"/>
        </w:rPr>
        <w:t>,</w:t>
      </w:r>
      <w:r w:rsidRPr="00B824AA">
        <w:rPr>
          <w:rFonts w:ascii="Times New Roman" w:hAnsi="Times New Roman" w:cs="Times New Roman"/>
          <w:sz w:val="24"/>
          <w:szCs w:val="24"/>
        </w:rPr>
        <w:t xml:space="preserve"> stanowiących oceny relatywnego poziomu rozwoju społecznego Polski (w stosunku do</w:t>
      </w:r>
      <w:r w:rsidR="00BA4D79" w:rsidRPr="00B824AA">
        <w:rPr>
          <w:rFonts w:ascii="Times New Roman" w:hAnsi="Times New Roman" w:cs="Times New Roman"/>
          <w:sz w:val="24"/>
          <w:szCs w:val="24"/>
        </w:rPr>
        <w:t xml:space="preserve"> wyodrębnionych</w:t>
      </w:r>
      <w:r w:rsidRPr="00B824AA">
        <w:rPr>
          <w:rFonts w:ascii="Times New Roman" w:hAnsi="Times New Roman" w:cs="Times New Roman"/>
          <w:sz w:val="24"/>
          <w:szCs w:val="24"/>
        </w:rPr>
        <w:t xml:space="preserve"> grup krajów UE) wagi te określają substytucyjność między tymi wskaźnikami przy ocenie poziomu rozwoju społecznego, a tym samym konstrukcji wskaźnika syntetycznego </w:t>
      </w:r>
      <w:proofErr w:type="spellStart"/>
      <w:r w:rsidRPr="00B824AA">
        <w:rPr>
          <w:rFonts w:ascii="Times New Roman" w:hAnsi="Times New Roman" w:cs="Times New Roman"/>
          <w:i/>
          <w:iCs/>
          <w:sz w:val="24"/>
          <w:szCs w:val="24"/>
        </w:rPr>
        <w:t>catch</w:t>
      </w:r>
      <w:proofErr w:type="spellEnd"/>
      <w:r w:rsidR="000F104C">
        <w:rPr>
          <w:rFonts w:ascii="Times New Roman" w:hAnsi="Times New Roman" w:cs="Times New Roman"/>
          <w:i/>
          <w:iCs/>
          <w:sz w:val="24"/>
          <w:szCs w:val="24"/>
        </w:rPr>
        <w:t>-</w:t>
      </w:r>
      <w:r w:rsidRPr="00B824AA">
        <w:rPr>
          <w:rFonts w:ascii="Times New Roman" w:hAnsi="Times New Roman" w:cs="Times New Roman"/>
          <w:i/>
          <w:iCs/>
          <w:sz w:val="24"/>
          <w:szCs w:val="24"/>
        </w:rPr>
        <w:t>up</w:t>
      </w:r>
      <w:r w:rsidRPr="00B824AA">
        <w:rPr>
          <w:rFonts w:ascii="Times New Roman" w:hAnsi="Times New Roman" w:cs="Times New Roman"/>
          <w:sz w:val="24"/>
          <w:szCs w:val="24"/>
        </w:rPr>
        <w:t xml:space="preserve">. Ocena relatywnej ważności wskaźników grupowych (wymiarów poziomu rozwoju społecznego) w pomiarze poziomu rozwoju społecznego odbywa się poprzez porównania ich parami, </w:t>
      </w:r>
      <w:r w:rsidR="001E7CEE">
        <w:rPr>
          <w:rFonts w:ascii="Times New Roman" w:hAnsi="Times New Roman" w:cs="Times New Roman"/>
          <w:sz w:val="24"/>
          <w:szCs w:val="24"/>
        </w:rPr>
        <w:t>przy czym</w:t>
      </w:r>
      <w:r w:rsidR="001E7CEE" w:rsidRPr="00B824AA">
        <w:rPr>
          <w:rFonts w:ascii="Times New Roman" w:hAnsi="Times New Roman" w:cs="Times New Roman"/>
          <w:sz w:val="24"/>
          <w:szCs w:val="24"/>
        </w:rPr>
        <w:t xml:space="preserve"> </w:t>
      </w:r>
      <w:r w:rsidRPr="00B824AA">
        <w:rPr>
          <w:rFonts w:ascii="Times New Roman" w:hAnsi="Times New Roman" w:cs="Times New Roman"/>
          <w:sz w:val="24"/>
          <w:szCs w:val="24"/>
        </w:rPr>
        <w:t xml:space="preserve">odnośnie każdej pary </w:t>
      </w:r>
      <w:r w:rsidR="00241448">
        <w:rPr>
          <w:rFonts w:ascii="Times New Roman" w:hAnsi="Times New Roman" w:cs="Times New Roman"/>
          <w:sz w:val="24"/>
          <w:szCs w:val="24"/>
        </w:rPr>
        <w:t xml:space="preserve">należy zadać </w:t>
      </w:r>
      <w:r w:rsidRPr="00B824AA">
        <w:rPr>
          <w:rFonts w:ascii="Times New Roman" w:hAnsi="Times New Roman" w:cs="Times New Roman"/>
          <w:sz w:val="24"/>
          <w:szCs w:val="24"/>
        </w:rPr>
        <w:t xml:space="preserve">pytanie, który z dwóch wskaźników grupowych jest ważniejszy i jak bardzo jest ważniejszy. Ocenę tę formułuje się na dziewięciostopniowej skali wprowadzonej przez T. </w:t>
      </w:r>
      <w:proofErr w:type="spellStart"/>
      <w:r w:rsidRPr="00B824AA">
        <w:rPr>
          <w:rFonts w:ascii="Times New Roman" w:hAnsi="Times New Roman" w:cs="Times New Roman"/>
          <w:sz w:val="24"/>
          <w:szCs w:val="24"/>
        </w:rPr>
        <w:t>Saaty’ego</w:t>
      </w:r>
      <w:proofErr w:type="spellEnd"/>
      <w:r w:rsidRPr="00B824AA">
        <w:rPr>
          <w:rFonts w:ascii="Times New Roman" w:hAnsi="Times New Roman" w:cs="Times New Roman"/>
          <w:sz w:val="24"/>
          <w:szCs w:val="24"/>
        </w:rPr>
        <w:t xml:space="preserve"> (</w:t>
      </w:r>
      <w:r w:rsidR="007F391A" w:rsidRPr="00B824AA">
        <w:rPr>
          <w:rFonts w:ascii="Times New Roman" w:hAnsi="Times New Roman" w:cs="Times New Roman"/>
          <w:sz w:val="24"/>
          <w:szCs w:val="24"/>
        </w:rPr>
        <w:t>T</w:t>
      </w:r>
      <w:r w:rsidRPr="00B824AA">
        <w:rPr>
          <w:rFonts w:ascii="Times New Roman" w:hAnsi="Times New Roman" w:cs="Times New Roman"/>
          <w:sz w:val="24"/>
          <w:szCs w:val="24"/>
        </w:rPr>
        <w:t xml:space="preserve">abela </w:t>
      </w:r>
      <w:r w:rsidR="007F391A" w:rsidRPr="00B824AA">
        <w:rPr>
          <w:rFonts w:ascii="Times New Roman" w:hAnsi="Times New Roman" w:cs="Times New Roman"/>
          <w:sz w:val="24"/>
          <w:szCs w:val="24"/>
        </w:rPr>
        <w:t>2</w:t>
      </w:r>
      <w:r w:rsidRPr="00B824AA">
        <w:rPr>
          <w:rFonts w:ascii="Times New Roman" w:hAnsi="Times New Roman" w:cs="Times New Roman"/>
          <w:sz w:val="24"/>
          <w:szCs w:val="24"/>
        </w:rPr>
        <w:t>).</w:t>
      </w:r>
    </w:p>
    <w:p w14:paraId="59CD2C8A" w14:textId="77777777" w:rsidR="000F104C" w:rsidRDefault="000F104C" w:rsidP="00BA4D79">
      <w:pPr>
        <w:spacing w:line="360" w:lineRule="auto"/>
        <w:jc w:val="both"/>
        <w:rPr>
          <w:rFonts w:ascii="Times New Roman" w:hAnsi="Times New Roman" w:cs="Times New Roman"/>
          <w:sz w:val="24"/>
          <w:szCs w:val="24"/>
        </w:rPr>
      </w:pPr>
    </w:p>
    <w:p w14:paraId="43873064" w14:textId="77777777" w:rsidR="000F104C" w:rsidRPr="00B824AA" w:rsidRDefault="000F104C" w:rsidP="00BA4D79">
      <w:pPr>
        <w:spacing w:line="360" w:lineRule="auto"/>
        <w:jc w:val="both"/>
        <w:rPr>
          <w:rFonts w:ascii="Times New Roman" w:hAnsi="Times New Roman" w:cs="Times New Roman"/>
          <w:sz w:val="24"/>
          <w:szCs w:val="24"/>
        </w:rPr>
      </w:pPr>
    </w:p>
    <w:p w14:paraId="69E6A46F" w14:textId="67CA804E" w:rsidR="0091284C" w:rsidRPr="00B824AA" w:rsidRDefault="00BA4D79" w:rsidP="00BA4D79">
      <w:pPr>
        <w:pStyle w:val="Caption"/>
        <w:rPr>
          <w:rFonts w:ascii="Times New Roman" w:hAnsi="Times New Roman" w:cs="Times New Roman"/>
          <w:sz w:val="22"/>
          <w:szCs w:val="22"/>
        </w:rPr>
      </w:pPr>
      <w:r w:rsidRPr="00B824AA">
        <w:rPr>
          <w:rFonts w:ascii="Times New Roman" w:hAnsi="Times New Roman" w:cs="Times New Roman"/>
          <w:sz w:val="22"/>
          <w:szCs w:val="22"/>
        </w:rPr>
        <w:lastRenderedPageBreak/>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2</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t>
      </w:r>
      <w:r w:rsidR="0091284C" w:rsidRPr="00B824AA">
        <w:rPr>
          <w:rFonts w:ascii="Times New Roman" w:hAnsi="Times New Roman" w:cs="Times New Roman"/>
          <w:sz w:val="22"/>
          <w:szCs w:val="22"/>
        </w:rPr>
        <w:t xml:space="preserve">Skala preferencji między porównywanymi parami wskaźnikami grupowymi według </w:t>
      </w:r>
      <w:proofErr w:type="spellStart"/>
      <w:r w:rsidR="0091284C" w:rsidRPr="00B824AA">
        <w:rPr>
          <w:rFonts w:ascii="Times New Roman" w:hAnsi="Times New Roman" w:cs="Times New Roman"/>
          <w:sz w:val="22"/>
          <w:szCs w:val="22"/>
        </w:rPr>
        <w:t>T.Saaty’ego</w:t>
      </w:r>
      <w:proofErr w:type="spellEnd"/>
      <w:r w:rsidR="0091284C" w:rsidRPr="00B824AA">
        <w:rPr>
          <w:rFonts w:ascii="Times New Roman" w:hAnsi="Times New Roman" w:cs="Times New Roman"/>
          <w:sz w:val="22"/>
          <w:szCs w:val="22"/>
        </w:rPr>
        <w:t>.</w:t>
      </w:r>
    </w:p>
    <w:tbl>
      <w:tblPr>
        <w:tblStyle w:val="TableGrid"/>
        <w:tblW w:w="9067" w:type="dxa"/>
        <w:tblInd w:w="0" w:type="dxa"/>
        <w:tblLook w:val="04A0" w:firstRow="1" w:lastRow="0" w:firstColumn="1" w:lastColumn="0" w:noHBand="0" w:noVBand="1"/>
      </w:tblPr>
      <w:tblGrid>
        <w:gridCol w:w="2322"/>
        <w:gridCol w:w="4629"/>
        <w:gridCol w:w="2116"/>
      </w:tblGrid>
      <w:tr w:rsidR="0091284C" w:rsidRPr="00B824AA" w14:paraId="37CDDCE8"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503F2E52" w14:textId="77777777" w:rsidR="0091284C" w:rsidRPr="00B824AA" w:rsidRDefault="0091284C">
            <w:pPr>
              <w:jc w:val="center"/>
              <w:rPr>
                <w:rFonts w:ascii="Times New Roman" w:hAnsi="Times New Roman" w:cs="Times New Roman"/>
                <w:b/>
                <w:sz w:val="20"/>
                <w:szCs w:val="20"/>
              </w:rPr>
            </w:pPr>
            <w:r w:rsidRPr="00B824AA">
              <w:rPr>
                <w:rFonts w:ascii="Times New Roman" w:hAnsi="Times New Roman" w:cs="Times New Roman"/>
                <w:b/>
                <w:sz w:val="20"/>
                <w:szCs w:val="20"/>
              </w:rPr>
              <w:t xml:space="preserve">Przewaga ważności </w:t>
            </w:r>
          </w:p>
          <w:p w14:paraId="22E0E8D7" w14:textId="77777777" w:rsidR="0091284C" w:rsidRPr="00B824AA" w:rsidRDefault="0091284C">
            <w:pPr>
              <w:jc w:val="center"/>
              <w:rPr>
                <w:rFonts w:ascii="Times New Roman" w:hAnsi="Times New Roman" w:cs="Times New Roman"/>
                <w:b/>
                <w:sz w:val="20"/>
                <w:szCs w:val="20"/>
              </w:rPr>
            </w:pPr>
            <w:r w:rsidRPr="00B824AA">
              <w:rPr>
                <w:rFonts w:ascii="Times New Roman" w:hAnsi="Times New Roman" w:cs="Times New Roman"/>
                <w:b/>
                <w:sz w:val="20"/>
                <w:szCs w:val="20"/>
              </w:rPr>
              <w:t>wskaźników grupowych</w:t>
            </w:r>
          </w:p>
        </w:tc>
        <w:tc>
          <w:tcPr>
            <w:tcW w:w="4844" w:type="dxa"/>
            <w:tcBorders>
              <w:top w:val="single" w:sz="4" w:space="0" w:color="auto"/>
              <w:left w:val="single" w:sz="4" w:space="0" w:color="auto"/>
              <w:bottom w:val="single" w:sz="4" w:space="0" w:color="auto"/>
              <w:right w:val="single" w:sz="4" w:space="0" w:color="auto"/>
            </w:tcBorders>
            <w:hideMark/>
          </w:tcPr>
          <w:p w14:paraId="29514CE9" w14:textId="77777777" w:rsidR="0091284C" w:rsidRPr="00B824AA" w:rsidRDefault="0091284C">
            <w:pPr>
              <w:jc w:val="center"/>
              <w:rPr>
                <w:rFonts w:ascii="Times New Roman" w:hAnsi="Times New Roman" w:cs="Times New Roman"/>
                <w:b/>
                <w:sz w:val="20"/>
                <w:szCs w:val="20"/>
              </w:rPr>
            </w:pPr>
            <w:r w:rsidRPr="00B824AA">
              <w:rPr>
                <w:rFonts w:ascii="Times New Roman" w:hAnsi="Times New Roman" w:cs="Times New Roman"/>
                <w:b/>
                <w:sz w:val="20"/>
                <w:szCs w:val="20"/>
              </w:rPr>
              <w:t>Opisowe wyrażenie ważności wskaźników grupowych</w:t>
            </w:r>
          </w:p>
        </w:tc>
        <w:tc>
          <w:tcPr>
            <w:tcW w:w="1842" w:type="dxa"/>
            <w:tcBorders>
              <w:top w:val="single" w:sz="4" w:space="0" w:color="auto"/>
              <w:left w:val="single" w:sz="4" w:space="0" w:color="auto"/>
              <w:bottom w:val="single" w:sz="4" w:space="0" w:color="auto"/>
              <w:right w:val="single" w:sz="4" w:space="0" w:color="auto"/>
            </w:tcBorders>
            <w:hideMark/>
          </w:tcPr>
          <w:p w14:paraId="2F004117" w14:textId="77777777" w:rsidR="0091284C" w:rsidRPr="00B824AA" w:rsidRDefault="0091284C">
            <w:pPr>
              <w:jc w:val="center"/>
              <w:rPr>
                <w:rFonts w:ascii="Times New Roman" w:hAnsi="Times New Roman" w:cs="Times New Roman"/>
                <w:b/>
                <w:sz w:val="20"/>
                <w:szCs w:val="20"/>
              </w:rPr>
            </w:pPr>
            <w:r w:rsidRPr="00B824AA">
              <w:rPr>
                <w:rFonts w:ascii="Times New Roman" w:hAnsi="Times New Roman" w:cs="Times New Roman"/>
                <w:b/>
                <w:sz w:val="20"/>
                <w:szCs w:val="20"/>
              </w:rPr>
              <w:t>Przyporządkowywane wartości</w:t>
            </w:r>
          </w:p>
        </w:tc>
      </w:tr>
      <w:tr w:rsidR="0091284C" w:rsidRPr="00B824AA" w14:paraId="387BB5F3"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6FA08A0B"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Równoważność </w:t>
            </w:r>
          </w:p>
        </w:tc>
        <w:tc>
          <w:tcPr>
            <w:tcW w:w="4844" w:type="dxa"/>
            <w:tcBorders>
              <w:top w:val="single" w:sz="4" w:space="0" w:color="auto"/>
              <w:left w:val="single" w:sz="4" w:space="0" w:color="auto"/>
              <w:bottom w:val="single" w:sz="4" w:space="0" w:color="auto"/>
              <w:right w:val="single" w:sz="4" w:space="0" w:color="auto"/>
            </w:tcBorders>
            <w:hideMark/>
          </w:tcPr>
          <w:p w14:paraId="7CDCB90F"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sz w:val="20"/>
                <w:szCs w:val="20"/>
              </w:rPr>
              <w:t xml:space="preserve"> ma takie samo znaczenie jak 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i/>
                <w:sz w:val="20"/>
                <w:szCs w:val="20"/>
                <w:vertAlign w:val="subscript"/>
              </w:rPr>
              <w:t>’</w:t>
            </w:r>
            <w:r w:rsidRPr="00B824AA">
              <w:rPr>
                <w:rFonts w:ascii="Times New Roman" w:hAnsi="Times New Roman" w:cs="Times New Roman"/>
                <w:sz w:val="20"/>
                <w:szCs w:val="20"/>
              </w:rPr>
              <w:t xml:space="preserve"> (oba wskaźniki mają takie samo znaczenie w ocenie danego obszaru jakości życia)</w:t>
            </w:r>
          </w:p>
        </w:tc>
        <w:tc>
          <w:tcPr>
            <w:tcW w:w="1842" w:type="dxa"/>
            <w:tcBorders>
              <w:top w:val="single" w:sz="4" w:space="0" w:color="auto"/>
              <w:left w:val="single" w:sz="4" w:space="0" w:color="auto"/>
              <w:bottom w:val="single" w:sz="4" w:space="0" w:color="auto"/>
              <w:right w:val="single" w:sz="4" w:space="0" w:color="auto"/>
            </w:tcBorders>
            <w:hideMark/>
          </w:tcPr>
          <w:p w14:paraId="3AB47866" w14:textId="77777777" w:rsidR="0091284C" w:rsidRPr="00B824AA" w:rsidRDefault="0091284C">
            <w:pPr>
              <w:jc w:val="center"/>
              <w:rPr>
                <w:rFonts w:ascii="Times New Roman" w:hAnsi="Times New Roman" w:cs="Times New Roman"/>
                <w:sz w:val="20"/>
                <w:szCs w:val="20"/>
              </w:rPr>
            </w:pPr>
            <w:r w:rsidRPr="00B824AA">
              <w:rPr>
                <w:rFonts w:ascii="Times New Roman" w:hAnsi="Times New Roman" w:cs="Times New Roman"/>
                <w:sz w:val="20"/>
                <w:szCs w:val="20"/>
              </w:rPr>
              <w:t>1</w:t>
            </w:r>
          </w:p>
        </w:tc>
      </w:tr>
      <w:tr w:rsidR="0091284C" w:rsidRPr="00B824AA" w14:paraId="1735602D"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7CFFFD65"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Słaba lub umiarkowana</w:t>
            </w:r>
          </w:p>
        </w:tc>
        <w:tc>
          <w:tcPr>
            <w:tcW w:w="4844" w:type="dxa"/>
            <w:tcBorders>
              <w:top w:val="single" w:sz="4" w:space="0" w:color="auto"/>
              <w:left w:val="single" w:sz="4" w:space="0" w:color="auto"/>
              <w:bottom w:val="single" w:sz="4" w:space="0" w:color="auto"/>
              <w:right w:val="single" w:sz="4" w:space="0" w:color="auto"/>
            </w:tcBorders>
            <w:hideMark/>
          </w:tcPr>
          <w:p w14:paraId="03A90EE5"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sz w:val="20"/>
                <w:szCs w:val="20"/>
              </w:rPr>
              <w:t xml:space="preserve"> ma trochę większe znaczenie niż 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i/>
                <w:sz w:val="20"/>
                <w:szCs w:val="20"/>
                <w:vertAlign w:val="subscript"/>
              </w:rPr>
              <w:t>’</w:t>
            </w:r>
            <w:r w:rsidRPr="00B824AA">
              <w:rPr>
                <w:rFonts w:ascii="Times New Roman" w:hAnsi="Times New Roman" w:cs="Times New Roman"/>
                <w:sz w:val="20"/>
                <w:szCs w:val="20"/>
              </w:rPr>
              <w:t xml:space="preserve"> (nieprzekonujące znaczenie lub słaba preferencja jednego wskaźnika nad drugim)</w:t>
            </w:r>
          </w:p>
        </w:tc>
        <w:tc>
          <w:tcPr>
            <w:tcW w:w="1842" w:type="dxa"/>
            <w:tcBorders>
              <w:top w:val="single" w:sz="4" w:space="0" w:color="auto"/>
              <w:left w:val="single" w:sz="4" w:space="0" w:color="auto"/>
              <w:bottom w:val="single" w:sz="4" w:space="0" w:color="auto"/>
              <w:right w:val="single" w:sz="4" w:space="0" w:color="auto"/>
            </w:tcBorders>
            <w:hideMark/>
          </w:tcPr>
          <w:p w14:paraId="07AD1CC5" w14:textId="77777777" w:rsidR="0091284C" w:rsidRPr="00B824AA" w:rsidRDefault="0091284C">
            <w:pPr>
              <w:jc w:val="center"/>
              <w:rPr>
                <w:rFonts w:ascii="Times New Roman" w:hAnsi="Times New Roman" w:cs="Times New Roman"/>
                <w:sz w:val="20"/>
                <w:szCs w:val="20"/>
              </w:rPr>
            </w:pPr>
            <w:r w:rsidRPr="00B824AA">
              <w:rPr>
                <w:rFonts w:ascii="Times New Roman" w:hAnsi="Times New Roman" w:cs="Times New Roman"/>
                <w:sz w:val="20"/>
                <w:szCs w:val="20"/>
              </w:rPr>
              <w:t>3</w:t>
            </w:r>
          </w:p>
        </w:tc>
      </w:tr>
      <w:tr w:rsidR="0091284C" w:rsidRPr="00B824AA" w14:paraId="0E9C8AB2"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75B75112"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Istotna, zasadnicza, mocna</w:t>
            </w:r>
          </w:p>
        </w:tc>
        <w:tc>
          <w:tcPr>
            <w:tcW w:w="4844" w:type="dxa"/>
            <w:tcBorders>
              <w:top w:val="single" w:sz="4" w:space="0" w:color="auto"/>
              <w:left w:val="single" w:sz="4" w:space="0" w:color="auto"/>
              <w:bottom w:val="single" w:sz="4" w:space="0" w:color="auto"/>
              <w:right w:val="single" w:sz="4" w:space="0" w:color="auto"/>
            </w:tcBorders>
            <w:hideMark/>
          </w:tcPr>
          <w:p w14:paraId="14AE1E9F"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sz w:val="20"/>
                <w:szCs w:val="20"/>
              </w:rPr>
              <w:t xml:space="preserve"> ma wyraźnie większe znaczenie niż 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i/>
                <w:sz w:val="20"/>
                <w:szCs w:val="20"/>
                <w:vertAlign w:val="subscript"/>
              </w:rPr>
              <w:t>’</w:t>
            </w:r>
            <w:r w:rsidRPr="00B824AA">
              <w:rPr>
                <w:rFonts w:ascii="Times New Roman" w:hAnsi="Times New Roman" w:cs="Times New Roman"/>
                <w:sz w:val="20"/>
                <w:szCs w:val="20"/>
              </w:rPr>
              <w:t xml:space="preserve"> (zasadnicze lub mocne znaczenie lub mocna preferencja jednego wskaźnika nad drugim)</w:t>
            </w:r>
          </w:p>
        </w:tc>
        <w:tc>
          <w:tcPr>
            <w:tcW w:w="1842" w:type="dxa"/>
            <w:tcBorders>
              <w:top w:val="single" w:sz="4" w:space="0" w:color="auto"/>
              <w:left w:val="single" w:sz="4" w:space="0" w:color="auto"/>
              <w:bottom w:val="single" w:sz="4" w:space="0" w:color="auto"/>
              <w:right w:val="single" w:sz="4" w:space="0" w:color="auto"/>
            </w:tcBorders>
            <w:hideMark/>
          </w:tcPr>
          <w:p w14:paraId="76D96FA2" w14:textId="77777777" w:rsidR="0091284C" w:rsidRPr="00B824AA" w:rsidRDefault="0091284C">
            <w:pPr>
              <w:jc w:val="center"/>
              <w:rPr>
                <w:rFonts w:ascii="Times New Roman" w:hAnsi="Times New Roman" w:cs="Times New Roman"/>
                <w:sz w:val="20"/>
                <w:szCs w:val="20"/>
              </w:rPr>
            </w:pPr>
            <w:r w:rsidRPr="00B824AA">
              <w:rPr>
                <w:rFonts w:ascii="Times New Roman" w:hAnsi="Times New Roman" w:cs="Times New Roman"/>
                <w:sz w:val="20"/>
                <w:szCs w:val="20"/>
              </w:rPr>
              <w:t>5</w:t>
            </w:r>
          </w:p>
        </w:tc>
      </w:tr>
      <w:tr w:rsidR="0091284C" w:rsidRPr="00B824AA" w14:paraId="60B5DFE3"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2681976C"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Zdecydowana lub bardzo mocna</w:t>
            </w:r>
          </w:p>
        </w:tc>
        <w:tc>
          <w:tcPr>
            <w:tcW w:w="4844" w:type="dxa"/>
            <w:tcBorders>
              <w:top w:val="single" w:sz="4" w:space="0" w:color="auto"/>
              <w:left w:val="single" w:sz="4" w:space="0" w:color="auto"/>
              <w:bottom w:val="single" w:sz="4" w:space="0" w:color="auto"/>
              <w:right w:val="single" w:sz="4" w:space="0" w:color="auto"/>
            </w:tcBorders>
            <w:hideMark/>
          </w:tcPr>
          <w:p w14:paraId="549ACC05"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sz w:val="20"/>
                <w:szCs w:val="20"/>
              </w:rPr>
              <w:t xml:space="preserve"> ma bezwzględnie większe znaczenie niż 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i/>
                <w:sz w:val="20"/>
                <w:szCs w:val="20"/>
                <w:vertAlign w:val="subscript"/>
              </w:rPr>
              <w:t>’</w:t>
            </w:r>
            <w:r w:rsidRPr="00B824AA">
              <w:rPr>
                <w:rFonts w:ascii="Times New Roman" w:hAnsi="Times New Roman" w:cs="Times New Roman"/>
                <w:sz w:val="20"/>
                <w:szCs w:val="20"/>
              </w:rPr>
              <w:t xml:space="preserve"> (zdecydowane znaczenie lub bardzo mocna preferencja jednego wskaźnika nad drugim)</w:t>
            </w:r>
          </w:p>
        </w:tc>
        <w:tc>
          <w:tcPr>
            <w:tcW w:w="1842" w:type="dxa"/>
            <w:tcBorders>
              <w:top w:val="single" w:sz="4" w:space="0" w:color="auto"/>
              <w:left w:val="single" w:sz="4" w:space="0" w:color="auto"/>
              <w:bottom w:val="single" w:sz="4" w:space="0" w:color="auto"/>
              <w:right w:val="single" w:sz="4" w:space="0" w:color="auto"/>
            </w:tcBorders>
            <w:hideMark/>
          </w:tcPr>
          <w:p w14:paraId="5191C816" w14:textId="77777777" w:rsidR="0091284C" w:rsidRPr="00B824AA" w:rsidRDefault="0091284C">
            <w:pPr>
              <w:jc w:val="center"/>
              <w:rPr>
                <w:rFonts w:ascii="Times New Roman" w:hAnsi="Times New Roman" w:cs="Times New Roman"/>
                <w:sz w:val="20"/>
                <w:szCs w:val="20"/>
              </w:rPr>
            </w:pPr>
            <w:r w:rsidRPr="00B824AA">
              <w:rPr>
                <w:rFonts w:ascii="Times New Roman" w:hAnsi="Times New Roman" w:cs="Times New Roman"/>
                <w:sz w:val="20"/>
                <w:szCs w:val="20"/>
              </w:rPr>
              <w:t>7</w:t>
            </w:r>
          </w:p>
        </w:tc>
      </w:tr>
      <w:tr w:rsidR="0091284C" w:rsidRPr="00B824AA" w14:paraId="151CCC86" w14:textId="77777777" w:rsidTr="00BA4D79">
        <w:tc>
          <w:tcPr>
            <w:tcW w:w="2381" w:type="dxa"/>
            <w:tcBorders>
              <w:top w:val="single" w:sz="4" w:space="0" w:color="auto"/>
              <w:left w:val="single" w:sz="4" w:space="0" w:color="auto"/>
              <w:bottom w:val="single" w:sz="4" w:space="0" w:color="auto"/>
              <w:right w:val="single" w:sz="4" w:space="0" w:color="auto"/>
            </w:tcBorders>
            <w:hideMark/>
          </w:tcPr>
          <w:p w14:paraId="3C5AF6E2"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Absolutna </w:t>
            </w:r>
          </w:p>
        </w:tc>
        <w:tc>
          <w:tcPr>
            <w:tcW w:w="4844" w:type="dxa"/>
            <w:tcBorders>
              <w:top w:val="single" w:sz="4" w:space="0" w:color="auto"/>
              <w:left w:val="single" w:sz="4" w:space="0" w:color="auto"/>
              <w:bottom w:val="single" w:sz="4" w:space="0" w:color="auto"/>
              <w:right w:val="single" w:sz="4" w:space="0" w:color="auto"/>
            </w:tcBorders>
            <w:hideMark/>
          </w:tcPr>
          <w:p w14:paraId="08BE19C4" w14:textId="77777777" w:rsidR="0091284C" w:rsidRPr="00B824AA" w:rsidRDefault="0091284C">
            <w:pPr>
              <w:jc w:val="both"/>
              <w:rPr>
                <w:rFonts w:ascii="Times New Roman" w:hAnsi="Times New Roman" w:cs="Times New Roman"/>
                <w:sz w:val="20"/>
                <w:szCs w:val="20"/>
              </w:rPr>
            </w:pPr>
            <w:r w:rsidRPr="00B824AA">
              <w:rPr>
                <w:rFonts w:ascii="Times New Roman" w:hAnsi="Times New Roman" w:cs="Times New Roman"/>
                <w:sz w:val="20"/>
                <w:szCs w:val="20"/>
              </w:rPr>
              <w:t xml:space="preserve">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sz w:val="20"/>
                <w:szCs w:val="20"/>
              </w:rPr>
              <w:t xml:space="preserve"> ma absolutnie większe znaczenie niż wskaźnik </w:t>
            </w:r>
            <w:proofErr w:type="spellStart"/>
            <w:r w:rsidRPr="00B824AA">
              <w:rPr>
                <w:rFonts w:ascii="Times New Roman" w:hAnsi="Times New Roman" w:cs="Times New Roman"/>
                <w:i/>
                <w:sz w:val="20"/>
                <w:szCs w:val="20"/>
              </w:rPr>
              <w:t>X</w:t>
            </w:r>
            <w:r w:rsidRPr="00B824AA">
              <w:rPr>
                <w:rFonts w:ascii="Times New Roman" w:hAnsi="Times New Roman" w:cs="Times New Roman"/>
                <w:i/>
                <w:sz w:val="20"/>
                <w:szCs w:val="20"/>
                <w:vertAlign w:val="subscript"/>
              </w:rPr>
              <w:t>j</w:t>
            </w:r>
            <w:proofErr w:type="spellEnd"/>
            <w:r w:rsidRPr="00B824AA">
              <w:rPr>
                <w:rFonts w:ascii="Times New Roman" w:hAnsi="Times New Roman" w:cs="Times New Roman"/>
                <w:i/>
                <w:sz w:val="20"/>
                <w:szCs w:val="20"/>
                <w:vertAlign w:val="subscript"/>
              </w:rPr>
              <w:t>’</w:t>
            </w:r>
            <w:r w:rsidRPr="00B824AA">
              <w:rPr>
                <w:rFonts w:ascii="Times New Roman" w:hAnsi="Times New Roman" w:cs="Times New Roman"/>
                <w:sz w:val="20"/>
                <w:szCs w:val="20"/>
              </w:rPr>
              <w:t xml:space="preserve"> (absolutne znaczenie lub absolutna preferencja jednego wskaźnika nad drugim)</w:t>
            </w:r>
          </w:p>
        </w:tc>
        <w:tc>
          <w:tcPr>
            <w:tcW w:w="1842" w:type="dxa"/>
            <w:tcBorders>
              <w:top w:val="single" w:sz="4" w:space="0" w:color="auto"/>
              <w:left w:val="single" w:sz="4" w:space="0" w:color="auto"/>
              <w:bottom w:val="single" w:sz="4" w:space="0" w:color="auto"/>
              <w:right w:val="single" w:sz="4" w:space="0" w:color="auto"/>
            </w:tcBorders>
            <w:hideMark/>
          </w:tcPr>
          <w:p w14:paraId="7FEF29A0" w14:textId="77777777" w:rsidR="0091284C" w:rsidRPr="00B824AA" w:rsidRDefault="0091284C">
            <w:pPr>
              <w:jc w:val="center"/>
              <w:rPr>
                <w:rFonts w:ascii="Times New Roman" w:hAnsi="Times New Roman" w:cs="Times New Roman"/>
                <w:sz w:val="20"/>
                <w:szCs w:val="20"/>
              </w:rPr>
            </w:pPr>
            <w:r w:rsidRPr="00B824AA">
              <w:rPr>
                <w:rFonts w:ascii="Times New Roman" w:hAnsi="Times New Roman" w:cs="Times New Roman"/>
                <w:sz w:val="20"/>
                <w:szCs w:val="20"/>
              </w:rPr>
              <w:t>9</w:t>
            </w:r>
          </w:p>
        </w:tc>
      </w:tr>
    </w:tbl>
    <w:p w14:paraId="0CDEEBA7" w14:textId="77777777" w:rsidR="0091284C" w:rsidRPr="00B824AA" w:rsidRDefault="0091284C" w:rsidP="0091284C">
      <w:pPr>
        <w:spacing w:line="360" w:lineRule="auto"/>
        <w:jc w:val="both"/>
        <w:rPr>
          <w:rFonts w:ascii="Times New Roman" w:hAnsi="Times New Roman" w:cs="Times New Roman"/>
          <w:i/>
          <w:iCs/>
          <w:sz w:val="20"/>
          <w:szCs w:val="20"/>
        </w:rPr>
      </w:pPr>
      <w:r w:rsidRPr="00B824AA">
        <w:rPr>
          <w:rFonts w:ascii="Times New Roman" w:hAnsi="Times New Roman" w:cs="Times New Roman"/>
          <w:i/>
          <w:iCs/>
          <w:sz w:val="20"/>
          <w:szCs w:val="20"/>
        </w:rPr>
        <w:t>Źródło: opracowanie własne na podstawie (</w:t>
      </w:r>
      <w:proofErr w:type="spellStart"/>
      <w:r w:rsidRPr="00B824AA">
        <w:rPr>
          <w:rFonts w:ascii="Times New Roman" w:hAnsi="Times New Roman" w:cs="Times New Roman"/>
          <w:i/>
          <w:iCs/>
          <w:sz w:val="20"/>
          <w:szCs w:val="20"/>
        </w:rPr>
        <w:t>Saaty</w:t>
      </w:r>
      <w:proofErr w:type="spellEnd"/>
      <w:r w:rsidRPr="00B824AA">
        <w:rPr>
          <w:rFonts w:ascii="Times New Roman" w:hAnsi="Times New Roman" w:cs="Times New Roman"/>
          <w:i/>
          <w:iCs/>
          <w:sz w:val="20"/>
          <w:szCs w:val="20"/>
        </w:rPr>
        <w:t>, 1980).</w:t>
      </w:r>
    </w:p>
    <w:p w14:paraId="5F031745" w14:textId="62449FEF" w:rsidR="0091284C" w:rsidRPr="00B824AA" w:rsidRDefault="0091284C" w:rsidP="00BA4D79">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Przyporządkowanie oceny 1 wskazuje równoważność między wskaźnikami, a oceny 9</w:t>
      </w:r>
      <w:r w:rsidR="007F391A" w:rsidRPr="00B824AA">
        <w:rPr>
          <w:rFonts w:ascii="Times New Roman" w:hAnsi="Times New Roman" w:cs="Times New Roman"/>
          <w:sz w:val="24"/>
          <w:szCs w:val="24"/>
        </w:rPr>
        <w:t> </w:t>
      </w:r>
      <w:r w:rsidRPr="00B824AA">
        <w:rPr>
          <w:rFonts w:ascii="Times New Roman" w:hAnsi="Times New Roman" w:cs="Times New Roman"/>
          <w:sz w:val="24"/>
          <w:szCs w:val="24"/>
        </w:rPr>
        <w:t>wskazuje, że pierwszy ze wskaźników jest 9 razy ważniejszy niż drugi z nich. Wartości pośrednie skali (2, 4, 6 i 8) przyporządkowuje się parom wskaźników w przypadku gdy uznaje się, że wyniki ich klasyfikacji leżą pomiędzy wyszczególnionymi w klasyfikacji wariantami.</w:t>
      </w:r>
    </w:p>
    <w:p w14:paraId="14A09559" w14:textId="77777777" w:rsidR="0091284C" w:rsidRPr="00B824AA" w:rsidRDefault="0091284C" w:rsidP="00BA4D79">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Punktem wyjścia metody AHP jest wskazanie dla każdego </w:t>
      </w:r>
      <w:r w:rsidRPr="00B824AA">
        <w:rPr>
          <w:rFonts w:ascii="Times New Roman" w:hAnsi="Times New Roman" w:cs="Times New Roman"/>
          <w:i/>
          <w:sz w:val="24"/>
          <w:szCs w:val="24"/>
        </w:rPr>
        <w:t>j</w:t>
      </w:r>
      <w:r w:rsidRPr="00B824AA">
        <w:rPr>
          <w:rFonts w:ascii="Times New Roman" w:hAnsi="Times New Roman" w:cs="Times New Roman"/>
          <w:sz w:val="24"/>
          <w:szCs w:val="24"/>
        </w:rPr>
        <w:t xml:space="preserve">-tego wskaźnika bazowego (u nas wskaźnika grupowego) tych wskaźników bazowych, od których </w:t>
      </w:r>
      <w:r w:rsidRPr="00B824AA">
        <w:rPr>
          <w:rFonts w:ascii="Times New Roman" w:hAnsi="Times New Roman" w:cs="Times New Roman"/>
          <w:i/>
          <w:sz w:val="24"/>
          <w:szCs w:val="24"/>
        </w:rPr>
        <w:t>j</w:t>
      </w:r>
      <w:r w:rsidRPr="00B824AA">
        <w:rPr>
          <w:rFonts w:ascii="Times New Roman" w:hAnsi="Times New Roman" w:cs="Times New Roman"/>
          <w:sz w:val="24"/>
          <w:szCs w:val="24"/>
        </w:rPr>
        <w:t xml:space="preserve">-ty wskaźnik bazowy jest ważniejszy oraz przyporządkowanie parom tych wskaźników liczb </w:t>
      </w:r>
      <w:proofErr w:type="spellStart"/>
      <w:r w:rsidRPr="00B824AA">
        <w:rPr>
          <w:rFonts w:ascii="Times New Roman" w:hAnsi="Times New Roman" w:cs="Times New Roman"/>
          <w:i/>
          <w:sz w:val="24"/>
          <w:szCs w:val="24"/>
        </w:rPr>
        <w:t>a</w:t>
      </w:r>
      <w:r w:rsidRPr="00B824AA">
        <w:rPr>
          <w:rFonts w:ascii="Times New Roman" w:hAnsi="Times New Roman" w:cs="Times New Roman"/>
          <w:i/>
          <w:sz w:val="24"/>
          <w:szCs w:val="24"/>
          <w:vertAlign w:val="subscript"/>
        </w:rPr>
        <w:t>jj</w:t>
      </w:r>
      <w:proofErr w:type="spellEnd"/>
      <w:r w:rsidRPr="00B824AA">
        <w:rPr>
          <w:rFonts w:ascii="Times New Roman" w:hAnsi="Times New Roman" w:cs="Times New Roman"/>
          <w:i/>
          <w:sz w:val="24"/>
          <w:szCs w:val="24"/>
          <w:vertAlign w:val="subscript"/>
        </w:rPr>
        <w:t>’</w:t>
      </w:r>
      <w:r w:rsidRPr="00B824AA">
        <w:rPr>
          <w:rFonts w:ascii="Times New Roman" w:hAnsi="Times New Roman" w:cs="Times New Roman"/>
          <w:sz w:val="24"/>
          <w:szCs w:val="24"/>
        </w:rPr>
        <w:t xml:space="preserve"> (odpowiadających ocenom porównania ważności </w:t>
      </w:r>
      <w:r w:rsidRPr="00B824AA">
        <w:rPr>
          <w:rFonts w:ascii="Times New Roman" w:hAnsi="Times New Roman" w:cs="Times New Roman"/>
          <w:i/>
          <w:sz w:val="24"/>
          <w:szCs w:val="24"/>
        </w:rPr>
        <w:t>j</w:t>
      </w:r>
      <w:r w:rsidRPr="00B824AA">
        <w:rPr>
          <w:rFonts w:ascii="Times New Roman" w:hAnsi="Times New Roman" w:cs="Times New Roman"/>
          <w:sz w:val="24"/>
          <w:szCs w:val="24"/>
        </w:rPr>
        <w:t xml:space="preserve">-tego i </w:t>
      </w:r>
      <w:r w:rsidRPr="00B824AA">
        <w:rPr>
          <w:rFonts w:ascii="Times New Roman" w:hAnsi="Times New Roman" w:cs="Times New Roman"/>
          <w:i/>
          <w:sz w:val="24"/>
          <w:szCs w:val="24"/>
        </w:rPr>
        <w:t>j’</w:t>
      </w:r>
      <w:r w:rsidRPr="00B824AA">
        <w:rPr>
          <w:rFonts w:ascii="Times New Roman" w:hAnsi="Times New Roman" w:cs="Times New Roman"/>
          <w:sz w:val="24"/>
          <w:szCs w:val="24"/>
        </w:rPr>
        <w:t>-tego wskaźnika). Następnie budujemy macierz porównań par wskaźników bazowych:</w:t>
      </w:r>
    </w:p>
    <w:p w14:paraId="6F8E44A8"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position w:val="-14"/>
          <w:sz w:val="24"/>
          <w:szCs w:val="24"/>
        </w:rPr>
        <w:object w:dxaOrig="1100" w:dyaOrig="380" w14:anchorId="7398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9pt" o:ole="">
            <v:imagedata r:id="rId17" o:title=""/>
          </v:shape>
          <o:OLEObject Type="Embed" ProgID="Equation.3" ShapeID="_x0000_i1025" DrawAspect="Content" ObjectID="_1786271468" r:id="rId18"/>
        </w:objec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proofErr w:type="spellStart"/>
      <w:r w:rsidRPr="0AFB7AF8">
        <w:rPr>
          <w:rFonts w:ascii="Times New Roman" w:hAnsi="Times New Roman" w:cs="Times New Roman"/>
          <w:i/>
          <w:iCs/>
          <w:sz w:val="24"/>
          <w:szCs w:val="24"/>
        </w:rPr>
        <w:t>j,j</w:t>
      </w:r>
      <w:proofErr w:type="spellEnd"/>
      <w:r w:rsidRPr="0AFB7AF8">
        <w:rPr>
          <w:rFonts w:ascii="Times New Roman" w:hAnsi="Times New Roman" w:cs="Times New Roman"/>
          <w:i/>
          <w:iCs/>
          <w:sz w:val="24"/>
          <w:szCs w:val="24"/>
        </w:rPr>
        <w:t>’</w:t>
      </w:r>
      <w:r w:rsidRPr="00B824AA">
        <w:rPr>
          <w:rFonts w:ascii="Times New Roman" w:hAnsi="Times New Roman" w:cs="Times New Roman"/>
          <w:sz w:val="24"/>
          <w:szCs w:val="24"/>
        </w:rPr>
        <w:t>=1,2,…</w:t>
      </w:r>
      <w:r w:rsidRPr="0AFB7AF8">
        <w:rPr>
          <w:rFonts w:ascii="Times New Roman" w:hAnsi="Times New Roman" w:cs="Times New Roman"/>
          <w:i/>
          <w:iCs/>
          <w:sz w:val="24"/>
          <w:szCs w:val="24"/>
        </w:rPr>
        <w:t>m</w: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(1)</w:t>
      </w:r>
    </w:p>
    <w:p w14:paraId="3FECCC41"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7A64B0C0" w14:textId="77777777" w:rsidR="0091284C" w:rsidRPr="00B824AA" w:rsidRDefault="0091284C" w:rsidP="0091284C">
      <w:pPr>
        <w:spacing w:after="0" w:line="360" w:lineRule="auto"/>
        <w:jc w:val="both"/>
        <w:rPr>
          <w:rFonts w:ascii="Times New Roman" w:hAnsi="Times New Roman" w:cs="Times New Roman"/>
          <w:sz w:val="24"/>
          <w:szCs w:val="24"/>
        </w:rPr>
      </w:pPr>
      <w:proofErr w:type="spellStart"/>
      <w:r w:rsidRPr="00B824AA">
        <w:rPr>
          <w:rFonts w:ascii="Times New Roman" w:hAnsi="Times New Roman" w:cs="Times New Roman"/>
          <w:i/>
          <w:sz w:val="24"/>
          <w:szCs w:val="24"/>
        </w:rPr>
        <w:t>a</w:t>
      </w:r>
      <w:r w:rsidRPr="00B824AA">
        <w:rPr>
          <w:rFonts w:ascii="Times New Roman" w:hAnsi="Times New Roman" w:cs="Times New Roman"/>
          <w:i/>
          <w:sz w:val="24"/>
          <w:szCs w:val="24"/>
          <w:vertAlign w:val="subscript"/>
        </w:rPr>
        <w:t>jj</w:t>
      </w:r>
      <w:proofErr w:type="spellEnd"/>
      <w:r w:rsidRPr="00B824AA">
        <w:rPr>
          <w:rFonts w:ascii="Times New Roman" w:hAnsi="Times New Roman" w:cs="Times New Roman"/>
          <w:i/>
          <w:sz w:val="24"/>
          <w:szCs w:val="24"/>
          <w:vertAlign w:val="subscript"/>
        </w:rPr>
        <w:t>’</w:t>
      </w:r>
      <w:r w:rsidRPr="00B824AA">
        <w:rPr>
          <w:rFonts w:ascii="Times New Roman" w:hAnsi="Times New Roman" w:cs="Times New Roman"/>
          <w:sz w:val="24"/>
          <w:szCs w:val="24"/>
        </w:rPr>
        <w:t>=1,</w:t>
      </w:r>
    </w:p>
    <w:p w14:paraId="03DDBF79" w14:textId="77777777" w:rsidR="0091284C" w:rsidRPr="00B824AA" w:rsidRDefault="0091284C" w:rsidP="0091284C">
      <w:pPr>
        <w:spacing w:after="0" w:line="360" w:lineRule="auto"/>
        <w:jc w:val="both"/>
        <w:rPr>
          <w:rFonts w:ascii="Times New Roman" w:hAnsi="Times New Roman" w:cs="Times New Roman"/>
        </w:rPr>
      </w:pPr>
      <w:r w:rsidRPr="00B824AA">
        <w:rPr>
          <w:rFonts w:ascii="Times New Roman" w:hAnsi="Times New Roman" w:cs="Times New Roman"/>
          <w:position w:val="-32"/>
        </w:rPr>
        <w:object w:dxaOrig="980" w:dyaOrig="700" w14:anchorId="3FA14CAD">
          <v:shape id="_x0000_i1026" type="#_x0000_t75" style="width:49pt;height:35pt" o:ole="">
            <v:imagedata r:id="rId19" o:title=""/>
          </v:shape>
          <o:OLEObject Type="Embed" ProgID="Equation.3" ShapeID="_x0000_i1026" DrawAspect="Content" ObjectID="_1786271469" r:id="rId20"/>
        </w:object>
      </w:r>
    </w:p>
    <w:p w14:paraId="6D073309" w14:textId="6A8CFC0C" w:rsidR="0091284C" w:rsidRPr="00B824AA" w:rsidRDefault="001526B8" w:rsidP="00912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91284C" w:rsidRPr="00B824AA">
        <w:rPr>
          <w:rFonts w:ascii="Times New Roman" w:hAnsi="Times New Roman" w:cs="Times New Roman"/>
          <w:sz w:val="24"/>
          <w:szCs w:val="24"/>
        </w:rPr>
        <w:t xml:space="preserve">dy brak jest oceny to przyjmujemy </w:t>
      </w:r>
      <w:proofErr w:type="spellStart"/>
      <w:r w:rsidR="0091284C" w:rsidRPr="00B824AA">
        <w:rPr>
          <w:rFonts w:ascii="Times New Roman" w:hAnsi="Times New Roman" w:cs="Times New Roman"/>
          <w:i/>
          <w:sz w:val="24"/>
          <w:szCs w:val="24"/>
        </w:rPr>
        <w:t>a</w:t>
      </w:r>
      <w:r w:rsidR="0091284C" w:rsidRPr="00B824AA">
        <w:rPr>
          <w:rFonts w:ascii="Times New Roman" w:hAnsi="Times New Roman" w:cs="Times New Roman"/>
          <w:i/>
          <w:sz w:val="24"/>
          <w:szCs w:val="24"/>
          <w:vertAlign w:val="subscript"/>
        </w:rPr>
        <w:t>jj</w:t>
      </w:r>
      <w:proofErr w:type="spellEnd"/>
      <w:r w:rsidR="0091284C" w:rsidRPr="00B824AA">
        <w:rPr>
          <w:rFonts w:ascii="Times New Roman" w:hAnsi="Times New Roman" w:cs="Times New Roman"/>
          <w:i/>
          <w:sz w:val="24"/>
          <w:szCs w:val="24"/>
          <w:vertAlign w:val="subscript"/>
        </w:rPr>
        <w:t>’</w:t>
      </w:r>
      <w:r w:rsidR="0091284C" w:rsidRPr="00B824AA">
        <w:rPr>
          <w:rFonts w:ascii="Times New Roman" w:hAnsi="Times New Roman" w:cs="Times New Roman"/>
          <w:sz w:val="24"/>
          <w:szCs w:val="24"/>
        </w:rPr>
        <w:t>=</w:t>
      </w:r>
      <w:proofErr w:type="spellStart"/>
      <w:r w:rsidR="0091284C" w:rsidRPr="00B824AA">
        <w:rPr>
          <w:rFonts w:ascii="Times New Roman" w:hAnsi="Times New Roman" w:cs="Times New Roman"/>
          <w:i/>
          <w:sz w:val="24"/>
          <w:szCs w:val="24"/>
        </w:rPr>
        <w:t>a</w:t>
      </w:r>
      <w:r w:rsidR="0091284C" w:rsidRPr="00B824AA">
        <w:rPr>
          <w:rFonts w:ascii="Times New Roman" w:hAnsi="Times New Roman" w:cs="Times New Roman"/>
          <w:i/>
          <w:sz w:val="24"/>
          <w:szCs w:val="24"/>
          <w:vertAlign w:val="subscript"/>
        </w:rPr>
        <w:t>j’j</w:t>
      </w:r>
      <w:proofErr w:type="spellEnd"/>
      <w:r w:rsidR="0091284C" w:rsidRPr="00B824AA">
        <w:rPr>
          <w:rFonts w:ascii="Times New Roman" w:hAnsi="Times New Roman" w:cs="Times New Roman"/>
          <w:sz w:val="24"/>
          <w:szCs w:val="24"/>
        </w:rPr>
        <w:t>=1.</w:t>
      </w:r>
    </w:p>
    <w:p w14:paraId="483DD54F"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sz w:val="24"/>
          <w:szCs w:val="24"/>
        </w:rPr>
        <w:t>Macierz porównań par wskaźników podlega normalizacji:</w:t>
      </w:r>
    </w:p>
    <w:p w14:paraId="072D070D" w14:textId="77777777" w:rsidR="0091284C" w:rsidRPr="00B824AA" w:rsidRDefault="0091284C" w:rsidP="0091284C">
      <w:pPr>
        <w:spacing w:after="0" w:line="360" w:lineRule="auto"/>
        <w:jc w:val="both"/>
        <w:rPr>
          <w:rFonts w:ascii="Times New Roman" w:hAnsi="Times New Roman" w:cs="Times New Roman"/>
          <w:i/>
          <w:sz w:val="24"/>
          <w:szCs w:val="24"/>
        </w:rPr>
      </w:pPr>
      <w:r w:rsidRPr="00B824AA">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jj'</m:t>
            </m:r>
          </m:sub>
          <m:sup>
            <m:r>
              <w:rPr>
                <w:rFonts w:ascii="Cambria Math" w:hAnsi="Cambria Math" w:cs="Times New Roman"/>
                <w:sz w:val="24"/>
                <w:szCs w:val="24"/>
              </w:rPr>
              <m:t>N</m:t>
            </m:r>
          </m:sup>
        </m:sSub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jj'</m:t>
                </m:r>
              </m:sub>
            </m:sSub>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jj'</m:t>
                    </m:r>
                  </m:sub>
                </m:sSub>
              </m:e>
            </m:nary>
          </m:den>
        </m:f>
      </m:oMath>
      <w:r w:rsidRPr="00B824AA">
        <w:rPr>
          <w:rFonts w:ascii="Times New Roman" w:eastAsiaTheme="minorEastAsia" w:hAnsi="Times New Roman" w:cs="Times New Roman"/>
          <w:sz w:val="24"/>
          <w:szCs w:val="24"/>
        </w:rPr>
        <w:t>,</w:t>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proofErr w:type="spellStart"/>
      <w:r w:rsidRPr="00B824AA">
        <w:rPr>
          <w:rFonts w:ascii="Times New Roman" w:hAnsi="Times New Roman" w:cs="Times New Roman"/>
          <w:i/>
          <w:sz w:val="24"/>
          <w:szCs w:val="24"/>
        </w:rPr>
        <w:t>j,j</w:t>
      </w:r>
      <w:proofErr w:type="spellEnd"/>
      <w:r w:rsidRPr="00B824AA">
        <w:rPr>
          <w:rFonts w:ascii="Times New Roman" w:hAnsi="Times New Roman" w:cs="Times New Roman"/>
          <w:i/>
          <w:sz w:val="24"/>
          <w:szCs w:val="24"/>
        </w:rPr>
        <w:t>’</w:t>
      </w:r>
      <w:r w:rsidRPr="00B824AA">
        <w:rPr>
          <w:rFonts w:ascii="Times New Roman" w:hAnsi="Times New Roman" w:cs="Times New Roman"/>
          <w:sz w:val="24"/>
          <w:szCs w:val="24"/>
        </w:rPr>
        <w:t>=1,2,…</w:t>
      </w:r>
      <w:r w:rsidRPr="00B824AA">
        <w:rPr>
          <w:rFonts w:ascii="Times New Roman" w:hAnsi="Times New Roman" w:cs="Times New Roman"/>
          <w:i/>
          <w:sz w:val="24"/>
          <w:szCs w:val="24"/>
        </w:rPr>
        <w:t>m</w: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(2)</w:t>
      </w:r>
    </w:p>
    <w:p w14:paraId="65743EE9" w14:textId="77777777" w:rsidR="0091284C" w:rsidRPr="00B824AA" w:rsidRDefault="0091284C" w:rsidP="00BA4D79">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Ostatecznie wagi są szacowane jako:</w:t>
      </w:r>
    </w:p>
    <w:p w14:paraId="379E4B89" w14:textId="77777777" w:rsidR="0091284C" w:rsidRPr="00B824AA" w:rsidRDefault="0091284C" w:rsidP="0091284C">
      <w:pPr>
        <w:spacing w:after="0" w:line="360" w:lineRule="auto"/>
        <w:jc w:val="both"/>
        <w:rPr>
          <w:rFonts w:ascii="Times New Roman" w:hAnsi="Times New Roman" w:cs="Times New Roman"/>
          <w:i/>
          <w:sz w:val="24"/>
          <w:szCs w:val="24"/>
        </w:rPr>
      </w:pPr>
      <w:r w:rsidRPr="00B824AA">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jj'</m:t>
                    </m:r>
                  </m:sub>
                  <m:sup>
                    <m:r>
                      <w:rPr>
                        <w:rFonts w:ascii="Cambria Math" w:hAnsi="Cambria Math" w:cs="Times New Roman"/>
                        <w:sz w:val="24"/>
                        <w:szCs w:val="24"/>
                      </w:rPr>
                      <m:t>N</m:t>
                    </m:r>
                  </m:sup>
                </m:sSubSup>
              </m:e>
            </m:nary>
          </m:num>
          <m:den>
            <m:r>
              <w:rPr>
                <w:rFonts w:ascii="Cambria Math" w:hAnsi="Cambria Math" w:cs="Times New Roman"/>
                <w:sz w:val="24"/>
                <w:szCs w:val="24"/>
              </w:rPr>
              <m:t>n</m:t>
            </m:r>
          </m:den>
        </m:f>
      </m:oMath>
      <w:r w:rsidRPr="00B824AA">
        <w:rPr>
          <w:rFonts w:ascii="Times New Roman" w:eastAsiaTheme="minorEastAsia" w:hAnsi="Times New Roman" w:cs="Times New Roman"/>
          <w:sz w:val="24"/>
          <w:szCs w:val="24"/>
        </w:rPr>
        <w:t>,</w:t>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r w:rsidRPr="00B824AA">
        <w:rPr>
          <w:rFonts w:ascii="Times New Roman" w:eastAsiaTheme="minorEastAsia" w:hAnsi="Times New Roman" w:cs="Times New Roman"/>
          <w:sz w:val="24"/>
          <w:szCs w:val="24"/>
        </w:rPr>
        <w:tab/>
      </w:r>
      <w:r w:rsidRPr="00B824AA">
        <w:rPr>
          <w:rFonts w:ascii="Times New Roman" w:hAnsi="Times New Roman" w:cs="Times New Roman"/>
          <w:i/>
          <w:sz w:val="24"/>
          <w:szCs w:val="24"/>
        </w:rPr>
        <w:t>j</w:t>
      </w:r>
      <w:r w:rsidRPr="00B824AA">
        <w:rPr>
          <w:rFonts w:ascii="Times New Roman" w:hAnsi="Times New Roman" w:cs="Times New Roman"/>
          <w:sz w:val="24"/>
          <w:szCs w:val="24"/>
        </w:rPr>
        <w:t>=1,2,…</w:t>
      </w:r>
      <w:r w:rsidRPr="00B824AA">
        <w:rPr>
          <w:rFonts w:ascii="Times New Roman" w:hAnsi="Times New Roman" w:cs="Times New Roman"/>
          <w:i/>
          <w:sz w:val="24"/>
          <w:szCs w:val="24"/>
        </w:rPr>
        <w:t>m</w: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(3)</w:t>
      </w:r>
    </w:p>
    <w:p w14:paraId="4EC486E8" w14:textId="77777777" w:rsidR="0091284C" w:rsidRPr="00B824AA" w:rsidRDefault="0091284C" w:rsidP="00BA4D79">
      <w:pPr>
        <w:spacing w:after="0" w:line="360" w:lineRule="auto"/>
        <w:jc w:val="both"/>
        <w:rPr>
          <w:rFonts w:ascii="Times New Roman" w:hAnsi="Times New Roman" w:cs="Times New Roman"/>
          <w:sz w:val="24"/>
          <w:szCs w:val="24"/>
        </w:rPr>
      </w:pPr>
      <w:proofErr w:type="spellStart"/>
      <w:r w:rsidRPr="00B824AA">
        <w:rPr>
          <w:rFonts w:ascii="Times New Roman" w:hAnsi="Times New Roman" w:cs="Times New Roman"/>
          <w:sz w:val="24"/>
          <w:szCs w:val="24"/>
        </w:rPr>
        <w:lastRenderedPageBreak/>
        <w:t>Satty</w:t>
      </w:r>
      <w:proofErr w:type="spellEnd"/>
      <w:r w:rsidRPr="00B824AA">
        <w:rPr>
          <w:rFonts w:ascii="Times New Roman" w:hAnsi="Times New Roman" w:cs="Times New Roman"/>
          <w:sz w:val="24"/>
          <w:szCs w:val="24"/>
        </w:rPr>
        <w:t xml:space="preserve"> (1980) wykazał, że istnieje związek pomiędzy wagami wyznaczonymi za pomocą serii porównań parami oraz wektorem własnym macierzy porównań par wskaźników bazowych.</w:t>
      </w:r>
    </w:p>
    <w:p w14:paraId="64785EB3" w14:textId="0604C00E" w:rsidR="0091284C" w:rsidRPr="00B824AA" w:rsidRDefault="00DF5E73" w:rsidP="00BA4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Ponieważ</w:t>
      </w:r>
      <w:r w:rsidR="0091284C" w:rsidRPr="00B824AA">
        <w:rPr>
          <w:rFonts w:ascii="Times New Roman" w:hAnsi="Times New Roman" w:cs="Times New Roman"/>
          <w:sz w:val="24"/>
          <w:szCs w:val="24"/>
        </w:rPr>
        <w:t xml:space="preserve"> </w:t>
      </w:r>
      <w:r w:rsidR="0091284C" w:rsidRPr="00B824AA">
        <w:rPr>
          <w:rFonts w:ascii="Times New Roman" w:hAnsi="Times New Roman" w:cs="Times New Roman"/>
          <w:i/>
          <w:sz w:val="24"/>
          <w:szCs w:val="24"/>
        </w:rPr>
        <w:t>j</w:t>
      </w:r>
      <w:r w:rsidR="0091284C" w:rsidRPr="00B824AA">
        <w:rPr>
          <w:rFonts w:ascii="Times New Roman" w:hAnsi="Times New Roman" w:cs="Times New Roman"/>
          <w:sz w:val="24"/>
          <w:szCs w:val="24"/>
        </w:rPr>
        <w:t xml:space="preserve">-ty wiersz macierzy porównań jest </w:t>
      </w:r>
      <w:r w:rsidR="00B3547F">
        <w:rPr>
          <w:rFonts w:ascii="Times New Roman" w:hAnsi="Times New Roman" w:cs="Times New Roman"/>
          <w:sz w:val="24"/>
          <w:szCs w:val="24"/>
        </w:rPr>
        <w:t xml:space="preserve">wektorem </w:t>
      </w:r>
      <w:r w:rsidR="00581CA2">
        <w:rPr>
          <w:rFonts w:ascii="Times New Roman" w:hAnsi="Times New Roman" w:cs="Times New Roman"/>
          <w:sz w:val="24"/>
          <w:szCs w:val="24"/>
        </w:rPr>
        <w:t>składającym</w:t>
      </w:r>
      <w:r w:rsidR="00B84D53">
        <w:rPr>
          <w:rFonts w:ascii="Times New Roman" w:hAnsi="Times New Roman" w:cs="Times New Roman"/>
          <w:sz w:val="24"/>
          <w:szCs w:val="24"/>
        </w:rPr>
        <w:t xml:space="preserve"> się z </w:t>
      </w:r>
      <w:r w:rsidR="0091284C" w:rsidRPr="00B824AA">
        <w:rPr>
          <w:rFonts w:ascii="Times New Roman" w:hAnsi="Times New Roman" w:cs="Times New Roman"/>
          <w:sz w:val="24"/>
          <w:szCs w:val="24"/>
        </w:rPr>
        <w:t xml:space="preserve">odwrotności jej </w:t>
      </w:r>
      <w:r w:rsidR="0091284C" w:rsidRPr="00B824AA">
        <w:rPr>
          <w:rFonts w:ascii="Times New Roman" w:hAnsi="Times New Roman" w:cs="Times New Roman"/>
          <w:i/>
          <w:sz w:val="24"/>
          <w:szCs w:val="24"/>
        </w:rPr>
        <w:t>j’</w:t>
      </w:r>
      <w:r w:rsidR="0091284C" w:rsidRPr="00B824AA">
        <w:rPr>
          <w:rFonts w:ascii="Times New Roman" w:hAnsi="Times New Roman" w:cs="Times New Roman"/>
          <w:sz w:val="24"/>
          <w:szCs w:val="24"/>
        </w:rPr>
        <w:t>-tej kolumny</w:t>
      </w:r>
      <w:r w:rsidR="00AE71F0">
        <w:rPr>
          <w:rFonts w:ascii="Times New Roman" w:hAnsi="Times New Roman" w:cs="Times New Roman"/>
          <w:sz w:val="24"/>
          <w:szCs w:val="24"/>
        </w:rPr>
        <w:t>, to</w:t>
      </w:r>
      <w:r w:rsidR="0091284C" w:rsidRPr="00B824AA">
        <w:rPr>
          <w:rFonts w:ascii="Times New Roman" w:hAnsi="Times New Roman" w:cs="Times New Roman"/>
          <w:sz w:val="24"/>
          <w:szCs w:val="24"/>
        </w:rPr>
        <w:t xml:space="preserve"> równość ta ma następującą postać</w:t>
      </w:r>
      <w:r w:rsidR="005D667C">
        <w:rPr>
          <w:rFonts w:ascii="Times New Roman" w:hAnsi="Times New Roman" w:cs="Times New Roman"/>
          <w:sz w:val="24"/>
          <w:szCs w:val="24"/>
        </w:rPr>
        <w:t xml:space="preserve"> (</w:t>
      </w:r>
      <w:proofErr w:type="spellStart"/>
      <w:r w:rsidR="0091284C" w:rsidRPr="00B824AA">
        <w:rPr>
          <w:rFonts w:ascii="Times New Roman" w:hAnsi="Times New Roman" w:cs="Times New Roman"/>
          <w:sz w:val="24"/>
          <w:szCs w:val="24"/>
        </w:rPr>
        <w:t>Chuang</w:t>
      </w:r>
      <w:proofErr w:type="spellEnd"/>
      <w:r w:rsidR="0091284C" w:rsidRPr="00B824AA">
        <w:rPr>
          <w:rFonts w:ascii="Times New Roman" w:hAnsi="Times New Roman" w:cs="Times New Roman"/>
          <w:sz w:val="24"/>
          <w:szCs w:val="24"/>
        </w:rPr>
        <w:t xml:space="preserve">, 2001; </w:t>
      </w:r>
      <w:proofErr w:type="spellStart"/>
      <w:r w:rsidR="0091284C" w:rsidRPr="00B824AA">
        <w:rPr>
          <w:rFonts w:ascii="Times New Roman" w:hAnsi="Times New Roman" w:cs="Times New Roman"/>
          <w:sz w:val="24"/>
          <w:szCs w:val="24"/>
        </w:rPr>
        <w:t>Saaty</w:t>
      </w:r>
      <w:proofErr w:type="spellEnd"/>
      <w:r w:rsidR="0091284C" w:rsidRPr="00B824AA">
        <w:rPr>
          <w:rFonts w:ascii="Times New Roman" w:hAnsi="Times New Roman" w:cs="Times New Roman"/>
          <w:sz w:val="24"/>
          <w:szCs w:val="24"/>
        </w:rPr>
        <w:t>, 1980</w:t>
      </w:r>
      <w:r w:rsidR="005D667C">
        <w:rPr>
          <w:rFonts w:ascii="Times New Roman" w:hAnsi="Times New Roman" w:cs="Times New Roman"/>
          <w:sz w:val="24"/>
          <w:szCs w:val="24"/>
        </w:rPr>
        <w:t>)</w:t>
      </w:r>
      <w:r w:rsidR="0091284C" w:rsidRPr="00B824AA">
        <w:rPr>
          <w:rFonts w:ascii="Times New Roman" w:hAnsi="Times New Roman" w:cs="Times New Roman"/>
          <w:sz w:val="24"/>
          <w:szCs w:val="24"/>
        </w:rPr>
        <w:t>:</w:t>
      </w:r>
    </w:p>
    <w:p w14:paraId="78D5F2DC"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position w:val="-6"/>
          <w:sz w:val="24"/>
          <w:szCs w:val="24"/>
        </w:rPr>
        <w:object w:dxaOrig="1160" w:dyaOrig="290" w14:anchorId="2A075FB1">
          <v:shape id="_x0000_i1027" type="#_x0000_t75" style="width:58pt;height:14.5pt" o:ole="">
            <v:imagedata r:id="rId21" o:title=""/>
          </v:shape>
          <o:OLEObject Type="Embed" ProgID="Equation.3" ShapeID="_x0000_i1027" DrawAspect="Content" ObjectID="_1786271470" r:id="rId22"/>
        </w:objec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(4)</w:t>
      </w:r>
    </w:p>
    <w:p w14:paraId="42D2C919"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2B79A291"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b/>
          <w:i/>
          <w:sz w:val="24"/>
          <w:szCs w:val="24"/>
        </w:rPr>
        <w:t>w</w:t>
      </w:r>
      <w:r w:rsidRPr="00B824AA">
        <w:rPr>
          <w:rFonts w:ascii="Times New Roman" w:hAnsi="Times New Roman" w:cs="Times New Roman"/>
          <w:sz w:val="24"/>
          <w:szCs w:val="24"/>
        </w:rPr>
        <w:t xml:space="preserve"> – wektor własny macierzy porównań o składowych równych wagom poszczególnych wskaźników bazowych.</w:t>
      </w:r>
    </w:p>
    <w:p w14:paraId="745E7063"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sz w:val="24"/>
          <w:szCs w:val="24"/>
        </w:rPr>
        <w:t>Nieznany wektor własny obliczamy rozwiązując układ równań:</w:t>
      </w:r>
    </w:p>
    <w:p w14:paraId="660A6C64"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position w:val="-10"/>
          <w:sz w:val="24"/>
          <w:szCs w:val="24"/>
        </w:rPr>
        <w:object w:dxaOrig="1380" w:dyaOrig="350" w14:anchorId="77EED0C7">
          <v:shape id="_x0000_i1028" type="#_x0000_t75" style="width:69pt;height:18pt" o:ole="">
            <v:imagedata r:id="rId23" o:title=""/>
          </v:shape>
          <o:OLEObject Type="Embed" ProgID="Equation.3" ShapeID="_x0000_i1028" DrawAspect="Content" ObjectID="_1786271471" r:id="rId24"/>
        </w:objec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(5)</w:t>
      </w:r>
    </w:p>
    <w:p w14:paraId="38ED1DDB"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λ – wartość własna macierzy porównań,</w:t>
      </w:r>
    </w:p>
    <w:p w14:paraId="7B9F391D"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b/>
          <w:i/>
          <w:sz w:val="24"/>
          <w:szCs w:val="24"/>
        </w:rPr>
        <w:t>I</w:t>
      </w:r>
      <w:r w:rsidRPr="00B824AA">
        <w:rPr>
          <w:rFonts w:ascii="Times New Roman" w:hAnsi="Times New Roman" w:cs="Times New Roman"/>
          <w:sz w:val="24"/>
          <w:szCs w:val="24"/>
        </w:rPr>
        <w:t xml:space="preserve"> – macierz jednostkowa.</w:t>
      </w:r>
    </w:p>
    <w:p w14:paraId="265F1695" w14:textId="77777777" w:rsidR="0091284C" w:rsidRPr="00B824AA" w:rsidRDefault="0091284C" w:rsidP="00BA4D79">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Powyższy układ ma niezerowe rozwiązanie tylko wtedy, gdy </w:t>
      </w:r>
      <w:r w:rsidRPr="00B824AA">
        <w:rPr>
          <w:rFonts w:ascii="Symbol" w:eastAsia="Symbol" w:hAnsi="Symbol" w:cs="Symbol"/>
          <w:i/>
          <w:sz w:val="24"/>
          <w:szCs w:val="24"/>
        </w:rPr>
        <w:t></w:t>
      </w:r>
      <w:r w:rsidRPr="00B824AA">
        <w:rPr>
          <w:rFonts w:ascii="Times New Roman" w:hAnsi="Times New Roman" w:cs="Times New Roman"/>
          <w:sz w:val="24"/>
          <w:szCs w:val="24"/>
        </w:rPr>
        <w:t xml:space="preserve"> jest wartością własną macierzy </w:t>
      </w:r>
      <w:r w:rsidRPr="00B824AA">
        <w:rPr>
          <w:rFonts w:ascii="Times New Roman" w:hAnsi="Times New Roman" w:cs="Times New Roman"/>
          <w:b/>
          <w:i/>
          <w:sz w:val="24"/>
          <w:szCs w:val="24"/>
        </w:rPr>
        <w:t>A</w:t>
      </w:r>
      <w:r w:rsidRPr="00B824AA">
        <w:rPr>
          <w:rFonts w:ascii="Times New Roman" w:hAnsi="Times New Roman" w:cs="Times New Roman"/>
          <w:sz w:val="24"/>
          <w:szCs w:val="24"/>
        </w:rPr>
        <w:t xml:space="preserve">. Jednocześnie ze względu na wzajemną odwrotność elementów przeciwległych macierzy </w:t>
      </w:r>
      <w:r w:rsidRPr="00B824AA">
        <w:rPr>
          <w:rFonts w:ascii="Times New Roman" w:hAnsi="Times New Roman" w:cs="Times New Roman"/>
          <w:b/>
          <w:i/>
          <w:sz w:val="24"/>
          <w:szCs w:val="24"/>
        </w:rPr>
        <w:t>A</w:t>
      </w:r>
      <w:r w:rsidRPr="00B824AA">
        <w:rPr>
          <w:rFonts w:ascii="Times New Roman" w:hAnsi="Times New Roman" w:cs="Times New Roman"/>
          <w:sz w:val="24"/>
          <w:szCs w:val="24"/>
        </w:rPr>
        <w:t xml:space="preserve"> względem przekątnej jest to jedyna wartość własna różna od zera. Tym samym równanie (4.72) można przedstawić jako:</w:t>
      </w:r>
    </w:p>
    <w:p w14:paraId="28F20E26"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position w:val="-12"/>
          <w:sz w:val="24"/>
          <w:szCs w:val="24"/>
        </w:rPr>
        <w:object w:dxaOrig="1230" w:dyaOrig="360" w14:anchorId="1FCC6D70">
          <v:shape id="_x0000_i1029" type="#_x0000_t75" style="width:61.5pt;height:18pt" o:ole="">
            <v:imagedata r:id="rId25" o:title=""/>
          </v:shape>
          <o:OLEObject Type="Embed" ProgID="Equation.3" ShapeID="_x0000_i1029" DrawAspect="Content" ObjectID="_1786271472" r:id="rId26"/>
        </w:object>
      </w:r>
      <w:r w:rsidRPr="00B824AA">
        <w:rPr>
          <w:rFonts w:ascii="Times New Roman" w:hAnsi="Times New Roman" w:cs="Times New Roman"/>
          <w:sz w:val="24"/>
          <w:szCs w:val="24"/>
        </w:rPr>
        <w:t>,</w:t>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r>
      <w:r w:rsidRPr="00B824AA">
        <w:rPr>
          <w:rFonts w:ascii="Times New Roman" w:hAnsi="Times New Roman" w:cs="Times New Roman"/>
          <w:sz w:val="24"/>
          <w:szCs w:val="24"/>
        </w:rPr>
        <w:tab/>
        <w:t>(6)</w:t>
      </w:r>
    </w:p>
    <w:p w14:paraId="69158E3C"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Times New Roman" w:hAnsi="Times New Roman" w:cs="Times New Roman"/>
          <w:sz w:val="24"/>
          <w:szCs w:val="24"/>
        </w:rPr>
        <w:t>gdzie:</w:t>
      </w:r>
    </w:p>
    <w:p w14:paraId="7AFE8A1B" w14:textId="77777777" w:rsidR="0091284C" w:rsidRPr="00B824AA" w:rsidRDefault="0091284C" w:rsidP="0091284C">
      <w:pPr>
        <w:spacing w:after="0" w:line="360" w:lineRule="auto"/>
        <w:jc w:val="both"/>
        <w:rPr>
          <w:rFonts w:ascii="Times New Roman" w:hAnsi="Times New Roman" w:cs="Times New Roman"/>
          <w:sz w:val="24"/>
          <w:szCs w:val="24"/>
        </w:rPr>
      </w:pPr>
      <w:r w:rsidRPr="00B824AA">
        <w:rPr>
          <w:rFonts w:ascii="Symbol" w:eastAsia="Symbol" w:hAnsi="Symbol" w:cs="Symbol"/>
          <w:i/>
          <w:sz w:val="24"/>
          <w:szCs w:val="24"/>
        </w:rPr>
        <w:t></w:t>
      </w:r>
      <w:r w:rsidRPr="00B824AA">
        <w:rPr>
          <w:rFonts w:ascii="Times New Roman" w:hAnsi="Times New Roman" w:cs="Times New Roman"/>
          <w:i/>
          <w:sz w:val="24"/>
          <w:szCs w:val="24"/>
          <w:vertAlign w:val="subscript"/>
        </w:rPr>
        <w:t>max</w:t>
      </w:r>
      <w:r w:rsidRPr="00B824AA">
        <w:rPr>
          <w:rFonts w:ascii="Times New Roman" w:hAnsi="Times New Roman" w:cs="Times New Roman"/>
          <w:sz w:val="24"/>
          <w:szCs w:val="24"/>
        </w:rPr>
        <w:t xml:space="preserve"> – maksymalna wartość własna macierzy porównań rzędu </w:t>
      </w:r>
      <w:r w:rsidRPr="00B824AA">
        <w:rPr>
          <w:rFonts w:ascii="Times New Roman" w:hAnsi="Times New Roman" w:cs="Times New Roman"/>
          <w:i/>
          <w:sz w:val="24"/>
          <w:szCs w:val="24"/>
        </w:rPr>
        <w:t>m</w:t>
      </w:r>
      <w:r w:rsidRPr="00B824AA">
        <w:rPr>
          <w:rFonts w:ascii="Times New Roman" w:hAnsi="Times New Roman" w:cs="Times New Roman"/>
          <w:sz w:val="24"/>
          <w:szCs w:val="24"/>
        </w:rPr>
        <w:t>.</w:t>
      </w:r>
    </w:p>
    <w:p w14:paraId="120526BF" w14:textId="77777777" w:rsidR="0091284C" w:rsidRPr="00B824AA" w:rsidRDefault="0091284C" w:rsidP="0091284C">
      <w:pPr>
        <w:spacing w:after="0" w:line="360" w:lineRule="auto"/>
        <w:ind w:firstLine="567"/>
        <w:jc w:val="both"/>
        <w:rPr>
          <w:rFonts w:ascii="Times New Roman" w:hAnsi="Times New Roman" w:cs="Times New Roman"/>
          <w:sz w:val="24"/>
          <w:szCs w:val="24"/>
        </w:rPr>
      </w:pPr>
      <w:r w:rsidRPr="00B824AA">
        <w:rPr>
          <w:rFonts w:ascii="Times New Roman" w:hAnsi="Times New Roman" w:cs="Times New Roman"/>
          <w:sz w:val="24"/>
          <w:szCs w:val="24"/>
        </w:rPr>
        <w:t>Wagami wskaźników bazowych są odpowiadające im składowe wektora własnego macierzy porównań.</w:t>
      </w:r>
    </w:p>
    <w:p w14:paraId="4E91BBFE" w14:textId="5DF191DE" w:rsidR="00CB7564" w:rsidRPr="00B824AA" w:rsidRDefault="00CB7564" w:rsidP="00DA74EA">
      <w:pPr>
        <w:pStyle w:val="Heading1"/>
        <w:numPr>
          <w:ilvl w:val="0"/>
          <w:numId w:val="6"/>
        </w:numPr>
        <w:rPr>
          <w:rFonts w:ascii="Times New Roman" w:hAnsi="Times New Roman" w:cs="Times New Roman"/>
          <w:sz w:val="36"/>
          <w:szCs w:val="36"/>
        </w:rPr>
      </w:pPr>
      <w:bookmarkStart w:id="6" w:name="_Toc162905462"/>
      <w:r w:rsidRPr="00B824AA">
        <w:rPr>
          <w:rFonts w:ascii="Times New Roman" w:hAnsi="Times New Roman" w:cs="Times New Roman"/>
          <w:sz w:val="36"/>
          <w:szCs w:val="36"/>
        </w:rPr>
        <w:t>Dochody i deprywacja materialna</w:t>
      </w:r>
      <w:r w:rsidRPr="00B824AA">
        <w:rPr>
          <w:rFonts w:ascii="Times New Roman" w:hAnsi="Times New Roman" w:cs="Times New Roman"/>
          <w:sz w:val="36"/>
          <w:szCs w:val="36"/>
          <w:vertAlign w:val="superscript"/>
        </w:rPr>
        <w:footnoteReference w:id="2"/>
      </w:r>
      <w:bookmarkEnd w:id="6"/>
    </w:p>
    <w:p w14:paraId="49F97381" w14:textId="77777777" w:rsidR="00DA74EA" w:rsidRPr="00B824AA" w:rsidRDefault="00DA74EA" w:rsidP="00DA74EA">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 xml:space="preserve">Tomasz Panek, Adam Szulc </w:t>
      </w:r>
    </w:p>
    <w:p w14:paraId="47E5E374" w14:textId="189A130E"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 ramach </w:t>
      </w:r>
      <w:r w:rsidR="00DA74EA" w:rsidRPr="00B824AA">
        <w:rPr>
          <w:rFonts w:ascii="Times New Roman" w:hAnsi="Times New Roman" w:cs="Times New Roman"/>
          <w:sz w:val="24"/>
          <w:szCs w:val="24"/>
        </w:rPr>
        <w:t xml:space="preserve">wymiaru </w:t>
      </w:r>
      <w:r w:rsidRPr="00B824AA">
        <w:rPr>
          <w:rFonts w:ascii="Times New Roman" w:hAnsi="Times New Roman" w:cs="Times New Roman"/>
          <w:sz w:val="24"/>
          <w:szCs w:val="24"/>
        </w:rPr>
        <w:t xml:space="preserve">Dochody i deprywacja materialna wyróżniono dwa wskaźniki cząstkowe. Pierwszy z nich (Dochody) stanowi ocenę przeciętnego (mierzonego medianą), rocznego dochodu do dyspozycji gospodarstw domowych. Dochód ten jest wyrażany w jednostkach ekwiwalentnych (w przeliczeniu na równoważne osoby dorosłe gospodarstw domowych) aby zapewnić porównywalność dochodów gospodarstw domowych o różnej liczebności i składzie demograficznym (por. Tabela </w:t>
      </w:r>
      <w:r w:rsidR="00DB6F0D" w:rsidRPr="00B824AA">
        <w:rPr>
          <w:rFonts w:ascii="Times New Roman" w:hAnsi="Times New Roman" w:cs="Times New Roman"/>
          <w:sz w:val="24"/>
          <w:szCs w:val="24"/>
        </w:rPr>
        <w:t>3</w:t>
      </w:r>
      <w:r w:rsidRPr="00B824AA">
        <w:rPr>
          <w:rFonts w:ascii="Times New Roman" w:hAnsi="Times New Roman" w:cs="Times New Roman"/>
          <w:sz w:val="24"/>
          <w:szCs w:val="24"/>
        </w:rPr>
        <w:t>) oraz we wspólnej umownej jednostce walutowej obliczanej za pomocą parytetów siły nabywczej walut (</w:t>
      </w:r>
      <w:proofErr w:type="spellStart"/>
      <w:r w:rsidRPr="00B824AA">
        <w:rPr>
          <w:rFonts w:ascii="Times New Roman" w:hAnsi="Times New Roman" w:cs="Times New Roman"/>
          <w:i/>
          <w:iCs/>
          <w:sz w:val="24"/>
          <w:szCs w:val="24"/>
        </w:rPr>
        <w:t>Purchasing</w:t>
      </w:r>
      <w:proofErr w:type="spellEnd"/>
      <w:r w:rsidRPr="00B824AA">
        <w:rPr>
          <w:rFonts w:ascii="Times New Roman" w:hAnsi="Times New Roman" w:cs="Times New Roman"/>
          <w:i/>
          <w:iCs/>
          <w:sz w:val="24"/>
          <w:szCs w:val="24"/>
        </w:rPr>
        <w:t xml:space="preserve"> Power </w:t>
      </w:r>
      <w:proofErr w:type="spellStart"/>
      <w:r w:rsidRPr="00B824AA">
        <w:rPr>
          <w:rFonts w:ascii="Times New Roman" w:hAnsi="Times New Roman" w:cs="Times New Roman"/>
          <w:i/>
          <w:iCs/>
          <w:sz w:val="24"/>
          <w:szCs w:val="24"/>
        </w:rPr>
        <w:t>Parity</w:t>
      </w:r>
      <w:proofErr w:type="spellEnd"/>
      <w:r w:rsidRPr="00B824AA">
        <w:rPr>
          <w:rFonts w:ascii="Times New Roman" w:hAnsi="Times New Roman" w:cs="Times New Roman"/>
          <w:sz w:val="24"/>
          <w:szCs w:val="24"/>
        </w:rPr>
        <w:t xml:space="preserve"> – PPP) stosowanej w Unii </w:t>
      </w:r>
      <w:r w:rsidRPr="00B824AA">
        <w:rPr>
          <w:rFonts w:ascii="Times New Roman" w:hAnsi="Times New Roman" w:cs="Times New Roman"/>
          <w:sz w:val="24"/>
          <w:szCs w:val="24"/>
        </w:rPr>
        <w:lastRenderedPageBreak/>
        <w:t>Europejskiej do przeliczeń zagregowanych danych ekonomicznych dla potrzeb porównań międzynarodowych, w taki sposób, aby wyeliminować wpływ różnic w poziomach cen między państwami członkowskimi. Wskaźnik Dochody mierzy przeciętny poziom zamożności gospodarstw domowych biorąc pod uwagę wyłącznie ich przeciętne dochody uzyskane w</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danym roku. Nie stanowi on jednak wystarczającej oceny sytuacji finansowej gospodarstw w danym roku gdyż nie bierze pod uwagę oszczędności tych gospodarstw z poprzednich lat. Został on w związku z tym uzupełniony wskaźnikiem Deprywacji materialnej</w:t>
      </w:r>
      <w:r w:rsidR="00137BC4">
        <w:rPr>
          <w:rFonts w:ascii="Times New Roman" w:hAnsi="Times New Roman" w:cs="Times New Roman"/>
          <w:sz w:val="24"/>
          <w:szCs w:val="24"/>
        </w:rPr>
        <w:t xml:space="preserve"> i społecznej</w:t>
      </w:r>
      <w:r w:rsidRPr="00B824AA">
        <w:rPr>
          <w:rFonts w:ascii="Times New Roman" w:hAnsi="Times New Roman" w:cs="Times New Roman"/>
          <w:sz w:val="24"/>
          <w:szCs w:val="24"/>
        </w:rPr>
        <w:t xml:space="preserve">, który stanowi ocenę możliwości finansowych (a w zasadzie braku możliwości finansowych) zaspokojenia co najmniej czterech z dziewięciu podstawowych potrzeb gospodarstw domowych (por. Tabela </w:t>
      </w:r>
      <w:r w:rsidR="00943AB0" w:rsidRPr="00B824AA">
        <w:rPr>
          <w:rFonts w:ascii="Times New Roman" w:hAnsi="Times New Roman" w:cs="Times New Roman"/>
          <w:sz w:val="24"/>
          <w:szCs w:val="24"/>
        </w:rPr>
        <w:t>3</w:t>
      </w:r>
      <w:r w:rsidRPr="00B824AA">
        <w:rPr>
          <w:rFonts w:ascii="Times New Roman" w:hAnsi="Times New Roman" w:cs="Times New Roman"/>
          <w:sz w:val="24"/>
          <w:szCs w:val="24"/>
        </w:rPr>
        <w:t xml:space="preserve">). </w:t>
      </w:r>
      <w:r w:rsidR="006F5F8A">
        <w:rPr>
          <w:rFonts w:ascii="Times New Roman" w:hAnsi="Times New Roman" w:cs="Times New Roman"/>
          <w:sz w:val="24"/>
          <w:szCs w:val="24"/>
        </w:rPr>
        <w:t xml:space="preserve">Szczegółowy wykaz tych potrzeb przedstawia Aneks (część </w:t>
      </w:r>
      <w:r w:rsidR="006F5F8A" w:rsidRPr="000218F6">
        <w:rPr>
          <w:rFonts w:ascii="Times New Roman" w:hAnsi="Times New Roman" w:cs="Times New Roman"/>
          <w:sz w:val="24"/>
          <w:szCs w:val="24"/>
        </w:rPr>
        <w:t>X1.2</w:t>
      </w:r>
      <w:r w:rsidR="006F5F8A">
        <w:rPr>
          <w:rFonts w:ascii="Times New Roman" w:hAnsi="Times New Roman" w:cs="Times New Roman"/>
          <w:sz w:val="24"/>
          <w:szCs w:val="24"/>
        </w:rPr>
        <w:t xml:space="preserve"> w Tabeli A.1). </w:t>
      </w:r>
      <w:r w:rsidRPr="00B824AA">
        <w:rPr>
          <w:rFonts w:ascii="Times New Roman" w:hAnsi="Times New Roman" w:cs="Times New Roman"/>
          <w:sz w:val="24"/>
          <w:szCs w:val="24"/>
        </w:rPr>
        <w:t>Tym samym, o ile wskaźnik Dochody koncentruje się na przeciętnej sytuacji finansowej</w:t>
      </w:r>
      <w:r w:rsidR="00C3068B">
        <w:rPr>
          <w:rFonts w:ascii="Times New Roman" w:hAnsi="Times New Roman" w:cs="Times New Roman"/>
          <w:sz w:val="24"/>
          <w:szCs w:val="24"/>
        </w:rPr>
        <w:t xml:space="preserve"> wszystkich</w:t>
      </w:r>
      <w:r w:rsidRPr="00B824AA">
        <w:rPr>
          <w:rFonts w:ascii="Times New Roman" w:hAnsi="Times New Roman" w:cs="Times New Roman"/>
          <w:sz w:val="24"/>
          <w:szCs w:val="24"/>
        </w:rPr>
        <w:t xml:space="preserve"> gospodarstw domowych to wskaźnik Deprywacji materialnej </w:t>
      </w:r>
      <w:r w:rsidR="00137BC4">
        <w:rPr>
          <w:rFonts w:ascii="Times New Roman" w:hAnsi="Times New Roman" w:cs="Times New Roman"/>
          <w:sz w:val="24"/>
          <w:szCs w:val="24"/>
        </w:rPr>
        <w:t xml:space="preserve">i społecznej </w:t>
      </w:r>
      <w:r w:rsidRPr="00B824AA">
        <w:rPr>
          <w:rFonts w:ascii="Times New Roman" w:hAnsi="Times New Roman" w:cs="Times New Roman"/>
          <w:sz w:val="24"/>
          <w:szCs w:val="24"/>
        </w:rPr>
        <w:t xml:space="preserve">na sytuacji materialnej najbiedniejszej grupy gospodarstw domowych, znajdujących się w sferze </w:t>
      </w:r>
      <w:r w:rsidR="00C96540">
        <w:rPr>
          <w:rFonts w:ascii="Times New Roman" w:hAnsi="Times New Roman" w:cs="Times New Roman"/>
          <w:sz w:val="24"/>
          <w:szCs w:val="24"/>
        </w:rPr>
        <w:t xml:space="preserve">szeroko rozumianego </w:t>
      </w:r>
      <w:r w:rsidRPr="00B824AA">
        <w:rPr>
          <w:rFonts w:ascii="Times New Roman" w:hAnsi="Times New Roman" w:cs="Times New Roman"/>
          <w:sz w:val="24"/>
          <w:szCs w:val="24"/>
        </w:rPr>
        <w:t>ubóstwa. Koresponduje to z jednym z podstawowych celów polityki społecznej państw członkowskich Unii Europejskiej jakim jest redukcja ubóstwa.</w:t>
      </w:r>
    </w:p>
    <w:p w14:paraId="5953AD5C" w14:textId="4606C5C5"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 </w:t>
      </w:r>
      <w:r w:rsidR="00943AB0" w:rsidRPr="00B824AA">
        <w:rPr>
          <w:rFonts w:ascii="Times New Roman" w:hAnsi="Times New Roman" w:cs="Times New Roman"/>
          <w:sz w:val="24"/>
          <w:szCs w:val="24"/>
        </w:rPr>
        <w:t>wymiarze D</w:t>
      </w:r>
      <w:r w:rsidRPr="00B824AA">
        <w:rPr>
          <w:rFonts w:ascii="Times New Roman" w:hAnsi="Times New Roman" w:cs="Times New Roman"/>
          <w:sz w:val="24"/>
          <w:szCs w:val="24"/>
        </w:rPr>
        <w:t xml:space="preserve">ochodów i deprywacji materialnej </w:t>
      </w:r>
      <w:r w:rsidR="00137BC4">
        <w:rPr>
          <w:rFonts w:ascii="Times New Roman" w:hAnsi="Times New Roman" w:cs="Times New Roman"/>
          <w:sz w:val="24"/>
          <w:szCs w:val="24"/>
        </w:rPr>
        <w:t xml:space="preserve">i społecznej </w:t>
      </w:r>
      <w:r w:rsidRPr="00B824AA">
        <w:rPr>
          <w:rFonts w:ascii="Times New Roman" w:hAnsi="Times New Roman" w:cs="Times New Roman"/>
          <w:sz w:val="24"/>
          <w:szCs w:val="24"/>
        </w:rPr>
        <w:t>obserwujemy wyraźną poprawę pozycji Polski w latach 2010-2020, w stosunku zarówno do krajów UE 27, jak i do krajów</w:t>
      </w:r>
      <w:r w:rsidR="00BD3216">
        <w:rPr>
          <w:rFonts w:ascii="Times New Roman" w:hAnsi="Times New Roman" w:cs="Times New Roman"/>
          <w:sz w:val="24"/>
          <w:szCs w:val="24"/>
        </w:rPr>
        <w:t xml:space="preserve"> UE 14 i</w:t>
      </w:r>
      <w:r w:rsidR="003C660F">
        <w:rPr>
          <w:rFonts w:ascii="Times New Roman" w:hAnsi="Times New Roman" w:cs="Times New Roman"/>
          <w:sz w:val="24"/>
          <w:szCs w:val="24"/>
        </w:rPr>
        <w:t> </w:t>
      </w:r>
      <w:r w:rsidR="00BD3216">
        <w:rPr>
          <w:rFonts w:ascii="Times New Roman" w:hAnsi="Times New Roman" w:cs="Times New Roman"/>
          <w:sz w:val="24"/>
          <w:szCs w:val="24"/>
        </w:rPr>
        <w:t>UE</w:t>
      </w:r>
      <w:r w:rsidR="003C660F">
        <w:rPr>
          <w:rFonts w:ascii="Times New Roman" w:hAnsi="Times New Roman" w:cs="Times New Roman"/>
          <w:sz w:val="24"/>
          <w:szCs w:val="24"/>
        </w:rPr>
        <w:t> </w:t>
      </w:r>
      <w:r w:rsidR="00BD3216">
        <w:rPr>
          <w:rFonts w:ascii="Times New Roman" w:hAnsi="Times New Roman" w:cs="Times New Roman"/>
          <w:sz w:val="24"/>
          <w:szCs w:val="24"/>
        </w:rPr>
        <w:t>13</w:t>
      </w:r>
      <w:r w:rsidRPr="00B824AA">
        <w:rPr>
          <w:rFonts w:ascii="Times New Roman" w:hAnsi="Times New Roman" w:cs="Times New Roman"/>
          <w:sz w:val="24"/>
          <w:szCs w:val="24"/>
        </w:rPr>
        <w:t xml:space="preserve">. W </w:t>
      </w:r>
      <w:r w:rsidR="0052570B">
        <w:rPr>
          <w:rFonts w:ascii="Times New Roman" w:hAnsi="Times New Roman" w:cs="Times New Roman"/>
          <w:sz w:val="24"/>
          <w:szCs w:val="24"/>
        </w:rPr>
        <w:t>relacji do</w:t>
      </w:r>
      <w:r w:rsidRPr="00B824AA">
        <w:rPr>
          <w:rFonts w:ascii="Times New Roman" w:hAnsi="Times New Roman" w:cs="Times New Roman"/>
          <w:sz w:val="24"/>
          <w:szCs w:val="24"/>
        </w:rPr>
        <w:t xml:space="preserve"> krajów UE 27 wzrost ten w 2015 r. w stosunku do 2010</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r. był co prawda znaczący (wzrost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z 45 do 6</w:t>
      </w:r>
      <w:r w:rsidR="00137BC4">
        <w:rPr>
          <w:rFonts w:ascii="Times New Roman" w:hAnsi="Times New Roman" w:cs="Times New Roman"/>
          <w:sz w:val="24"/>
          <w:szCs w:val="24"/>
        </w:rPr>
        <w:t>7</w:t>
      </w:r>
      <w:r w:rsidR="00943AB0" w:rsidRPr="00B824AA">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ale w dalszym ciągu poziom dochodów </w:t>
      </w:r>
      <w:r w:rsidR="00137BC4">
        <w:rPr>
          <w:rFonts w:ascii="Times New Roman" w:hAnsi="Times New Roman" w:cs="Times New Roman"/>
          <w:sz w:val="24"/>
          <w:szCs w:val="24"/>
        </w:rPr>
        <w:t xml:space="preserve">oraz deprywacji materialnej i społecznej </w:t>
      </w:r>
      <w:r w:rsidRPr="00B824AA">
        <w:rPr>
          <w:rFonts w:ascii="Times New Roman" w:hAnsi="Times New Roman" w:cs="Times New Roman"/>
          <w:sz w:val="24"/>
          <w:szCs w:val="24"/>
        </w:rPr>
        <w:t>gospodarstw domowych w Polsce stanowił tylko 6</w:t>
      </w:r>
      <w:r w:rsidR="00137BC4">
        <w:rPr>
          <w:rFonts w:ascii="Times New Roman" w:hAnsi="Times New Roman" w:cs="Times New Roman"/>
          <w:sz w:val="24"/>
          <w:szCs w:val="24"/>
        </w:rPr>
        <w:t>7</w:t>
      </w:r>
      <w:r w:rsidRPr="00B824AA">
        <w:rPr>
          <w:rFonts w:ascii="Times New Roman" w:hAnsi="Times New Roman" w:cs="Times New Roman"/>
          <w:sz w:val="24"/>
          <w:szCs w:val="24"/>
        </w:rPr>
        <w:t xml:space="preserve"> procent przeciętnego poziomu tych dochodów w krajach UE 27. W 2020 r. nastąpił skokowy wzrost wielkości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w obszarze Dochody i deprywacja materialna, co spowodowane było skokowym spadkiem liczby osób podlegających deprywacji materialnej </w:t>
      </w:r>
      <w:r w:rsidR="00137BC4">
        <w:rPr>
          <w:rFonts w:ascii="Times New Roman" w:hAnsi="Times New Roman" w:cs="Times New Roman"/>
          <w:sz w:val="24"/>
          <w:szCs w:val="24"/>
        </w:rPr>
        <w:t xml:space="preserve">i społecznej </w:t>
      </w:r>
      <w:r w:rsidRPr="00B824AA">
        <w:rPr>
          <w:rFonts w:ascii="Times New Roman" w:hAnsi="Times New Roman" w:cs="Times New Roman"/>
          <w:sz w:val="24"/>
          <w:szCs w:val="24"/>
        </w:rPr>
        <w:t xml:space="preserve">(por. analiza poniżej). W efekcie wielkość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dla Polski w odniesieniu do UE 27 wzrosła w tym roku do 115 procent. </w:t>
      </w:r>
      <w:r w:rsidR="00137BC4">
        <w:rPr>
          <w:rFonts w:ascii="Times New Roman" w:hAnsi="Times New Roman" w:cs="Times New Roman"/>
          <w:sz w:val="24"/>
          <w:szCs w:val="24"/>
        </w:rPr>
        <w:t xml:space="preserve">Jednakże </w:t>
      </w:r>
      <w:r w:rsidRPr="00B824AA">
        <w:rPr>
          <w:rFonts w:ascii="Times New Roman" w:hAnsi="Times New Roman" w:cs="Times New Roman"/>
          <w:sz w:val="24"/>
          <w:szCs w:val="24"/>
        </w:rPr>
        <w:t xml:space="preserve">wartość tego wskaźnika nieznacznie </w:t>
      </w:r>
      <w:r w:rsidR="00137BC4">
        <w:rPr>
          <w:rFonts w:ascii="Times New Roman" w:hAnsi="Times New Roman" w:cs="Times New Roman"/>
          <w:sz w:val="24"/>
          <w:szCs w:val="24"/>
        </w:rPr>
        <w:t xml:space="preserve">w 2021 r. znacząco </w:t>
      </w:r>
      <w:r w:rsidRPr="00B824AA">
        <w:rPr>
          <w:rFonts w:ascii="Times New Roman" w:hAnsi="Times New Roman" w:cs="Times New Roman"/>
          <w:sz w:val="24"/>
          <w:szCs w:val="24"/>
        </w:rPr>
        <w:t xml:space="preserve">spadła (do 114 procent), co było spowodowane pogorszeniem się relatywnej </w:t>
      </w:r>
      <w:r w:rsidR="00137BC4">
        <w:rPr>
          <w:rFonts w:ascii="Times New Roman" w:hAnsi="Times New Roman" w:cs="Times New Roman"/>
          <w:sz w:val="24"/>
          <w:szCs w:val="24"/>
        </w:rPr>
        <w:t xml:space="preserve">deprywacji materialnej i społecznej </w:t>
      </w:r>
      <w:r w:rsidRPr="00B824AA">
        <w:rPr>
          <w:rFonts w:ascii="Times New Roman" w:hAnsi="Times New Roman" w:cs="Times New Roman"/>
          <w:sz w:val="24"/>
          <w:szCs w:val="24"/>
        </w:rPr>
        <w:t>sytuacji dochodowej polskich gospodarstw domowych (w stosunku do UE 27)</w:t>
      </w:r>
      <w:r w:rsidR="00137BC4">
        <w:rPr>
          <w:rFonts w:ascii="Times New Roman" w:hAnsi="Times New Roman" w:cs="Times New Roman"/>
          <w:sz w:val="24"/>
          <w:szCs w:val="24"/>
        </w:rPr>
        <w:t xml:space="preserve"> w pierwszym roku pandemii COVID-19</w:t>
      </w:r>
      <w:r w:rsidRPr="00B824AA">
        <w:rPr>
          <w:rFonts w:ascii="Times New Roman" w:hAnsi="Times New Roman" w:cs="Times New Roman"/>
          <w:sz w:val="24"/>
          <w:szCs w:val="24"/>
        </w:rPr>
        <w:t>.</w:t>
      </w:r>
      <w:r w:rsidR="00137BC4">
        <w:rPr>
          <w:rFonts w:ascii="Times New Roman" w:hAnsi="Times New Roman" w:cs="Times New Roman"/>
          <w:sz w:val="24"/>
          <w:szCs w:val="24"/>
        </w:rPr>
        <w:t xml:space="preserve"> Jednakże już w 2022 r. wartość tego wskaźnika powróciła do stanu z 202</w:t>
      </w:r>
      <w:r w:rsidR="009B2D4F">
        <w:rPr>
          <w:rFonts w:ascii="Times New Roman" w:hAnsi="Times New Roman" w:cs="Times New Roman"/>
          <w:sz w:val="24"/>
          <w:szCs w:val="24"/>
        </w:rPr>
        <w:t>0</w:t>
      </w:r>
      <w:r w:rsidR="00137BC4">
        <w:rPr>
          <w:rFonts w:ascii="Times New Roman" w:hAnsi="Times New Roman" w:cs="Times New Roman"/>
          <w:sz w:val="24"/>
          <w:szCs w:val="24"/>
        </w:rPr>
        <w:t xml:space="preserve"> r.</w:t>
      </w:r>
    </w:p>
    <w:p w14:paraId="7A2E828D" w14:textId="3A553C3B"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Podobny trendy zmian wielkości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w </w:t>
      </w:r>
      <w:r w:rsidR="00BD3216">
        <w:rPr>
          <w:rFonts w:ascii="Times New Roman" w:hAnsi="Times New Roman" w:cs="Times New Roman"/>
          <w:sz w:val="24"/>
          <w:szCs w:val="24"/>
        </w:rPr>
        <w:t>wymiarze</w:t>
      </w:r>
      <w:r w:rsidRPr="00B824AA">
        <w:rPr>
          <w:rFonts w:ascii="Times New Roman" w:hAnsi="Times New Roman" w:cs="Times New Roman"/>
          <w:sz w:val="24"/>
          <w:szCs w:val="24"/>
        </w:rPr>
        <w:t xml:space="preserve"> Dochody i deprywacja materialna </w:t>
      </w:r>
      <w:r w:rsidR="00137BC4">
        <w:rPr>
          <w:rFonts w:ascii="Times New Roman" w:hAnsi="Times New Roman" w:cs="Times New Roman"/>
          <w:sz w:val="24"/>
          <w:szCs w:val="24"/>
        </w:rPr>
        <w:t xml:space="preserve">i społeczna </w:t>
      </w:r>
      <w:r w:rsidRPr="00B824AA">
        <w:rPr>
          <w:rFonts w:ascii="Times New Roman" w:hAnsi="Times New Roman" w:cs="Times New Roman"/>
          <w:sz w:val="24"/>
          <w:szCs w:val="24"/>
        </w:rPr>
        <w:t>dla Polski, jak w stosunku do wszystkich krajów UE (UE 27), obserwujemy w latach 2010-2020 w odniesieniu do krajów UE</w:t>
      </w:r>
      <w:r w:rsidR="00943AB0" w:rsidRPr="00B824AA">
        <w:rPr>
          <w:rFonts w:ascii="Times New Roman" w:hAnsi="Times New Roman" w:cs="Times New Roman"/>
          <w:sz w:val="24"/>
          <w:szCs w:val="24"/>
        </w:rPr>
        <w:t xml:space="preserve"> 14</w:t>
      </w:r>
      <w:r w:rsidRPr="00B824AA">
        <w:rPr>
          <w:rFonts w:ascii="Times New Roman" w:hAnsi="Times New Roman" w:cs="Times New Roman"/>
          <w:sz w:val="24"/>
          <w:szCs w:val="24"/>
        </w:rPr>
        <w:t>. Wartość tego wskaźnika w 2010 r., wynosiła tylko 39 procent, w 2015 r. 6</w:t>
      </w:r>
      <w:r w:rsidR="00973BCC">
        <w:rPr>
          <w:rFonts w:ascii="Times New Roman" w:hAnsi="Times New Roman" w:cs="Times New Roman"/>
          <w:sz w:val="24"/>
          <w:szCs w:val="24"/>
        </w:rPr>
        <w:t>0</w:t>
      </w:r>
      <w:r w:rsidRPr="00B824AA">
        <w:rPr>
          <w:rFonts w:ascii="Times New Roman" w:hAnsi="Times New Roman" w:cs="Times New Roman"/>
          <w:sz w:val="24"/>
          <w:szCs w:val="24"/>
        </w:rPr>
        <w:t xml:space="preserve"> procent, w 2020 już 11</w:t>
      </w:r>
      <w:r w:rsidR="00973BCC">
        <w:rPr>
          <w:rFonts w:ascii="Times New Roman" w:hAnsi="Times New Roman" w:cs="Times New Roman"/>
          <w:sz w:val="24"/>
          <w:szCs w:val="24"/>
        </w:rPr>
        <w:t>2</w:t>
      </w:r>
      <w:r w:rsidRPr="00B824AA">
        <w:rPr>
          <w:rFonts w:ascii="Times New Roman" w:hAnsi="Times New Roman" w:cs="Times New Roman"/>
          <w:sz w:val="24"/>
          <w:szCs w:val="24"/>
        </w:rPr>
        <w:t xml:space="preserve"> procent</w:t>
      </w:r>
      <w:r w:rsidR="00973BCC">
        <w:rPr>
          <w:rFonts w:ascii="Times New Roman" w:hAnsi="Times New Roman" w:cs="Times New Roman"/>
          <w:sz w:val="24"/>
          <w:szCs w:val="24"/>
        </w:rPr>
        <w:t xml:space="preserve">, w 2021 r. </w:t>
      </w:r>
      <w:r w:rsidR="00973BCC">
        <w:rPr>
          <w:rFonts w:ascii="Times New Roman" w:hAnsi="Times New Roman" w:cs="Times New Roman"/>
          <w:sz w:val="24"/>
          <w:szCs w:val="24"/>
        </w:rPr>
        <w:lastRenderedPageBreak/>
        <w:t>spadła do 99 procent, a w 2022 r. osiągnęła 113 procent</w:t>
      </w:r>
      <w:r w:rsidRPr="00B824AA">
        <w:rPr>
          <w:rFonts w:ascii="Times New Roman" w:hAnsi="Times New Roman" w:cs="Times New Roman"/>
          <w:sz w:val="24"/>
          <w:szCs w:val="24"/>
        </w:rPr>
        <w:t>. Oznacza to, że w 2010 r. poziom dochodów i deprywacji łącznie był niższy o 4</w:t>
      </w:r>
      <w:r w:rsidR="00973BCC">
        <w:rPr>
          <w:rFonts w:ascii="Times New Roman" w:hAnsi="Times New Roman" w:cs="Times New Roman"/>
          <w:sz w:val="24"/>
          <w:szCs w:val="24"/>
        </w:rPr>
        <w:t>0</w:t>
      </w:r>
      <w:r w:rsidRPr="00B824AA">
        <w:rPr>
          <w:rFonts w:ascii="Times New Roman" w:hAnsi="Times New Roman" w:cs="Times New Roman"/>
          <w:sz w:val="24"/>
          <w:szCs w:val="24"/>
        </w:rPr>
        <w:t xml:space="preserve"> procent niż w krajach UE</w:t>
      </w:r>
      <w:r w:rsidR="00BD3216">
        <w:rPr>
          <w:rFonts w:ascii="Times New Roman" w:hAnsi="Times New Roman" w:cs="Times New Roman"/>
          <w:sz w:val="24"/>
          <w:szCs w:val="24"/>
        </w:rPr>
        <w:t xml:space="preserve"> 14</w:t>
      </w:r>
      <w:r w:rsidRPr="00B824AA">
        <w:rPr>
          <w:rFonts w:ascii="Times New Roman" w:hAnsi="Times New Roman" w:cs="Times New Roman"/>
          <w:sz w:val="24"/>
          <w:szCs w:val="24"/>
        </w:rPr>
        <w:t>, a</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w</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202</w:t>
      </w:r>
      <w:r w:rsidR="00973BCC">
        <w:rPr>
          <w:rFonts w:ascii="Times New Roman" w:hAnsi="Times New Roman" w:cs="Times New Roman"/>
          <w:sz w:val="24"/>
          <w:szCs w:val="24"/>
        </w:rPr>
        <w:t>2</w:t>
      </w:r>
      <w:r w:rsidRPr="00B824AA">
        <w:rPr>
          <w:rFonts w:ascii="Times New Roman" w:hAnsi="Times New Roman" w:cs="Times New Roman"/>
          <w:sz w:val="24"/>
          <w:szCs w:val="24"/>
        </w:rPr>
        <w:t xml:space="preserve"> r. </w:t>
      </w:r>
      <w:r w:rsidR="00D36CB3">
        <w:rPr>
          <w:rFonts w:ascii="Times New Roman" w:hAnsi="Times New Roman" w:cs="Times New Roman"/>
          <w:sz w:val="24"/>
          <w:szCs w:val="24"/>
        </w:rPr>
        <w:t xml:space="preserve">już </w:t>
      </w:r>
      <w:r w:rsidRPr="00B824AA">
        <w:rPr>
          <w:rFonts w:ascii="Times New Roman" w:hAnsi="Times New Roman" w:cs="Times New Roman"/>
          <w:sz w:val="24"/>
          <w:szCs w:val="24"/>
        </w:rPr>
        <w:t>wyższy o 1</w:t>
      </w:r>
      <w:r w:rsidR="00973BCC">
        <w:rPr>
          <w:rFonts w:ascii="Times New Roman" w:hAnsi="Times New Roman" w:cs="Times New Roman"/>
          <w:sz w:val="24"/>
          <w:szCs w:val="24"/>
        </w:rPr>
        <w:t>3</w:t>
      </w:r>
      <w:r w:rsidRPr="00B824AA">
        <w:rPr>
          <w:rFonts w:ascii="Times New Roman" w:hAnsi="Times New Roman" w:cs="Times New Roman"/>
          <w:sz w:val="24"/>
          <w:szCs w:val="24"/>
        </w:rPr>
        <w:t xml:space="preserve"> procent, czyli sytuacja w tym obszarze była lepsza niż przeciętnie w krajach starej UE. </w:t>
      </w:r>
    </w:p>
    <w:p w14:paraId="65535D25" w14:textId="4B8448F9"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Poziom wskaźnika </w:t>
      </w:r>
      <w:proofErr w:type="spellStart"/>
      <w:r w:rsidRPr="00B824AA">
        <w:rPr>
          <w:rFonts w:ascii="Times New Roman" w:hAnsi="Times New Roman" w:cs="Times New Roman"/>
          <w:i/>
          <w:iCs/>
          <w:sz w:val="24"/>
          <w:szCs w:val="24"/>
        </w:rPr>
        <w:t>catch</w:t>
      </w:r>
      <w:r w:rsidR="009B2D4F">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sz w:val="24"/>
          <w:szCs w:val="24"/>
        </w:rPr>
        <w:t xml:space="preserve"> dla Polski w 2010 r. w stosunku do krajów UE </w:t>
      </w:r>
      <w:r w:rsidR="00943AB0" w:rsidRPr="00B824AA">
        <w:rPr>
          <w:rFonts w:ascii="Times New Roman" w:hAnsi="Times New Roman" w:cs="Times New Roman"/>
          <w:sz w:val="24"/>
          <w:szCs w:val="24"/>
        </w:rPr>
        <w:t xml:space="preserve">13 </w:t>
      </w:r>
      <w:r w:rsidRPr="00B824AA">
        <w:rPr>
          <w:rFonts w:ascii="Times New Roman" w:hAnsi="Times New Roman" w:cs="Times New Roman"/>
          <w:sz w:val="24"/>
          <w:szCs w:val="24"/>
        </w:rPr>
        <w:t>wyniósł 104</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procent czyli sytuacja w Polsce w analizowanym obszarze była lepsza niż przeciętn</w:t>
      </w:r>
      <w:r w:rsidR="00CC761A">
        <w:rPr>
          <w:rFonts w:ascii="Times New Roman" w:hAnsi="Times New Roman" w:cs="Times New Roman"/>
          <w:sz w:val="24"/>
          <w:szCs w:val="24"/>
        </w:rPr>
        <w:t>a sytuacja</w:t>
      </w:r>
      <w:r w:rsidRPr="00B824AA">
        <w:rPr>
          <w:rFonts w:ascii="Times New Roman" w:hAnsi="Times New Roman" w:cs="Times New Roman"/>
          <w:sz w:val="24"/>
          <w:szCs w:val="24"/>
        </w:rPr>
        <w:t xml:space="preserve"> w</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krajach UE </w:t>
      </w:r>
      <w:r w:rsidR="00B21C20">
        <w:rPr>
          <w:rFonts w:ascii="Times New Roman" w:hAnsi="Times New Roman" w:cs="Times New Roman"/>
          <w:sz w:val="24"/>
          <w:szCs w:val="24"/>
        </w:rPr>
        <w:t xml:space="preserve">13 </w:t>
      </w:r>
      <w:r w:rsidRPr="00B824AA">
        <w:rPr>
          <w:rFonts w:ascii="Times New Roman" w:hAnsi="Times New Roman" w:cs="Times New Roman"/>
          <w:sz w:val="24"/>
          <w:szCs w:val="24"/>
        </w:rPr>
        <w:t>o 4 procent</w:t>
      </w:r>
      <w:r w:rsidR="00943AB0" w:rsidRPr="00B824AA">
        <w:rPr>
          <w:rFonts w:ascii="Times New Roman" w:hAnsi="Times New Roman" w:cs="Times New Roman"/>
          <w:sz w:val="24"/>
          <w:szCs w:val="24"/>
        </w:rPr>
        <w:t>y</w:t>
      </w:r>
      <w:r w:rsidRPr="00B824AA">
        <w:rPr>
          <w:rFonts w:ascii="Times New Roman" w:hAnsi="Times New Roman" w:cs="Times New Roman"/>
          <w:sz w:val="24"/>
          <w:szCs w:val="24"/>
        </w:rPr>
        <w:t>. Wartość wskaźnika rosła w kolejnych latach i w 2020 r. wyniosła już 13</w:t>
      </w:r>
      <w:r w:rsidR="00B74E06">
        <w:rPr>
          <w:rFonts w:ascii="Times New Roman" w:hAnsi="Times New Roman" w:cs="Times New Roman"/>
          <w:sz w:val="24"/>
          <w:szCs w:val="24"/>
        </w:rPr>
        <w:t>1</w:t>
      </w:r>
      <w:r w:rsidRPr="00B824AA">
        <w:rPr>
          <w:rFonts w:ascii="Times New Roman" w:hAnsi="Times New Roman" w:cs="Times New Roman"/>
          <w:sz w:val="24"/>
          <w:szCs w:val="24"/>
        </w:rPr>
        <w:t xml:space="preserve"> procent. W 2021 r. nastąpił </w:t>
      </w:r>
      <w:r w:rsidR="00B74E06">
        <w:rPr>
          <w:rFonts w:ascii="Times New Roman" w:hAnsi="Times New Roman" w:cs="Times New Roman"/>
          <w:sz w:val="24"/>
          <w:szCs w:val="24"/>
        </w:rPr>
        <w:t>spadek</w:t>
      </w:r>
      <w:r w:rsidRPr="00B824AA">
        <w:rPr>
          <w:rFonts w:ascii="Times New Roman" w:hAnsi="Times New Roman" w:cs="Times New Roman"/>
          <w:sz w:val="24"/>
          <w:szCs w:val="24"/>
        </w:rPr>
        <w:t xml:space="preserve"> tej wartości o </w:t>
      </w:r>
      <w:r w:rsidR="00B74E06">
        <w:rPr>
          <w:rFonts w:ascii="Times New Roman" w:hAnsi="Times New Roman" w:cs="Times New Roman"/>
          <w:sz w:val="24"/>
          <w:szCs w:val="24"/>
        </w:rPr>
        <w:t>7</w:t>
      </w:r>
      <w:r w:rsidRPr="00B824AA">
        <w:rPr>
          <w:rFonts w:ascii="Times New Roman" w:hAnsi="Times New Roman" w:cs="Times New Roman"/>
          <w:sz w:val="24"/>
          <w:szCs w:val="24"/>
        </w:rPr>
        <w:t xml:space="preserve"> punkt</w:t>
      </w:r>
      <w:r w:rsidR="00B74E06">
        <w:rPr>
          <w:rFonts w:ascii="Times New Roman" w:hAnsi="Times New Roman" w:cs="Times New Roman"/>
          <w:sz w:val="24"/>
          <w:szCs w:val="24"/>
        </w:rPr>
        <w:t>ów</w:t>
      </w:r>
      <w:r w:rsidRPr="00B824AA">
        <w:rPr>
          <w:rFonts w:ascii="Times New Roman" w:hAnsi="Times New Roman" w:cs="Times New Roman"/>
          <w:sz w:val="24"/>
          <w:szCs w:val="24"/>
        </w:rPr>
        <w:t xml:space="preserve"> procentowy</w:t>
      </w:r>
      <w:r w:rsidR="00B74E06">
        <w:rPr>
          <w:rFonts w:ascii="Times New Roman" w:hAnsi="Times New Roman" w:cs="Times New Roman"/>
          <w:sz w:val="24"/>
          <w:szCs w:val="24"/>
        </w:rPr>
        <w:t>ch</w:t>
      </w:r>
      <w:r w:rsidRPr="00B824AA">
        <w:rPr>
          <w:rFonts w:ascii="Times New Roman" w:hAnsi="Times New Roman" w:cs="Times New Roman"/>
          <w:sz w:val="24"/>
          <w:szCs w:val="24"/>
        </w:rPr>
        <w:t>.</w:t>
      </w:r>
      <w:r w:rsidR="00B74E06">
        <w:rPr>
          <w:rFonts w:ascii="Times New Roman" w:hAnsi="Times New Roman" w:cs="Times New Roman"/>
          <w:sz w:val="24"/>
          <w:szCs w:val="24"/>
        </w:rPr>
        <w:t xml:space="preserve"> Jednak w 2022 r. obserwujemy już wzrost wartości tego wskaźnika do 128 procent.</w:t>
      </w:r>
    </w:p>
    <w:p w14:paraId="4A295372" w14:textId="091A052B"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Poziom przeciętnych dochodów gospodarstw domowych w Polsce był we wszystkich badanych latach znacząco niższy niż średni poziom tych dochodów w krajach UE 27, chociaż </w:t>
      </w:r>
      <w:r w:rsidR="00B60516">
        <w:rPr>
          <w:rFonts w:ascii="Times New Roman" w:hAnsi="Times New Roman" w:cs="Times New Roman"/>
          <w:sz w:val="24"/>
          <w:szCs w:val="24"/>
        </w:rPr>
        <w:t xml:space="preserve">ta </w:t>
      </w:r>
      <w:r w:rsidRPr="00B824AA">
        <w:rPr>
          <w:rFonts w:ascii="Times New Roman" w:hAnsi="Times New Roman" w:cs="Times New Roman"/>
          <w:sz w:val="24"/>
          <w:szCs w:val="24"/>
        </w:rPr>
        <w:t>luka dochodowa ulegała w latach 2010-202</w:t>
      </w:r>
      <w:r w:rsidR="00B74E06">
        <w:rPr>
          <w:rFonts w:ascii="Times New Roman" w:hAnsi="Times New Roman" w:cs="Times New Roman"/>
          <w:sz w:val="24"/>
          <w:szCs w:val="24"/>
        </w:rPr>
        <w:t>2</w:t>
      </w:r>
      <w:r w:rsidRPr="00B824AA">
        <w:rPr>
          <w:rFonts w:ascii="Times New Roman" w:hAnsi="Times New Roman" w:cs="Times New Roman"/>
          <w:sz w:val="24"/>
          <w:szCs w:val="24"/>
        </w:rPr>
        <w:t xml:space="preserve"> zmniejszeniu. O ile w 2010 r. poziom tych dochodów w Polsce był niższy o 48 procent od przeciętnego poziomu dochodów gospodarstw domowych w UE 27, to 2020 r. był on niższy już tylko o 24 procent</w:t>
      </w:r>
      <w:r w:rsidR="00D36CB3">
        <w:rPr>
          <w:rFonts w:ascii="Times New Roman" w:hAnsi="Times New Roman" w:cs="Times New Roman"/>
          <w:sz w:val="24"/>
          <w:szCs w:val="24"/>
        </w:rPr>
        <w:t>,</w:t>
      </w:r>
      <w:r w:rsidR="00B74E06">
        <w:rPr>
          <w:rFonts w:ascii="Times New Roman" w:hAnsi="Times New Roman" w:cs="Times New Roman"/>
          <w:sz w:val="24"/>
          <w:szCs w:val="24"/>
        </w:rPr>
        <w:t xml:space="preserve"> podobnie jak w</w:t>
      </w:r>
      <w:r w:rsidRPr="00B824AA">
        <w:rPr>
          <w:rFonts w:ascii="Times New Roman" w:hAnsi="Times New Roman" w:cs="Times New Roman"/>
          <w:sz w:val="24"/>
          <w:szCs w:val="24"/>
        </w:rPr>
        <w:t xml:space="preserve"> 2021 r.</w:t>
      </w:r>
      <w:r w:rsidR="00D36CB3">
        <w:rPr>
          <w:rFonts w:ascii="Times New Roman" w:hAnsi="Times New Roman" w:cs="Times New Roman"/>
          <w:sz w:val="24"/>
          <w:szCs w:val="24"/>
        </w:rPr>
        <w:t xml:space="preserve"> W</w:t>
      </w:r>
      <w:r w:rsidR="00B74E06">
        <w:rPr>
          <w:rFonts w:ascii="Times New Roman" w:hAnsi="Times New Roman" w:cs="Times New Roman"/>
          <w:sz w:val="24"/>
          <w:szCs w:val="24"/>
        </w:rPr>
        <w:t xml:space="preserve"> 2022 r. obserwujemy kolejny wzrost wartości wskaźnika do 79 procent. Oznacza to, że poziom dochodów polskich gospodarstw domowych w 2022 r. był niższy o 21 procent niż w krajach UE-27.</w:t>
      </w:r>
      <w:r w:rsidRPr="00B824AA">
        <w:rPr>
          <w:rFonts w:ascii="Times New Roman" w:hAnsi="Times New Roman" w:cs="Times New Roman"/>
          <w:sz w:val="24"/>
          <w:szCs w:val="24"/>
        </w:rPr>
        <w:t xml:space="preserve"> Sytuacja dochodowa gospodarstw domowych w Polsce w stosunku do tej sytuacji w krajach UE </w:t>
      </w:r>
      <w:r w:rsidR="00076DDB">
        <w:rPr>
          <w:rFonts w:ascii="Times New Roman" w:hAnsi="Times New Roman" w:cs="Times New Roman"/>
          <w:sz w:val="24"/>
          <w:szCs w:val="24"/>
        </w:rPr>
        <w:t xml:space="preserve">14 </w:t>
      </w:r>
      <w:r w:rsidRPr="00B824AA">
        <w:rPr>
          <w:rFonts w:ascii="Times New Roman" w:hAnsi="Times New Roman" w:cs="Times New Roman"/>
          <w:sz w:val="24"/>
          <w:szCs w:val="24"/>
        </w:rPr>
        <w:t xml:space="preserve">była znacznie gorsza niż </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w</w:t>
      </w:r>
      <w:r w:rsidR="00BD3216">
        <w:rPr>
          <w:rFonts w:ascii="Times New Roman" w:hAnsi="Times New Roman" w:cs="Times New Roman"/>
          <w:sz w:val="24"/>
          <w:szCs w:val="24"/>
        </w:rPr>
        <w:t> </w:t>
      </w:r>
      <w:r w:rsidRPr="00B824AA">
        <w:rPr>
          <w:rFonts w:ascii="Times New Roman" w:hAnsi="Times New Roman" w:cs="Times New Roman"/>
          <w:sz w:val="24"/>
          <w:szCs w:val="24"/>
        </w:rPr>
        <w:t>stosunku do krajów UE-27, ale ulegała stałej poprawie. Przeciętne dochody gospodarstw domowych w Polsce stanowiły w 2010 r. tylko 46 procent przeciętnych dochodów w krajach UE. W 2020 r. osiągnęły one 69 procent przeciętnych dochodów krajów UE</w:t>
      </w:r>
      <w:r w:rsidR="00076DDB">
        <w:rPr>
          <w:rFonts w:ascii="Times New Roman" w:hAnsi="Times New Roman" w:cs="Times New Roman"/>
          <w:sz w:val="24"/>
          <w:szCs w:val="24"/>
        </w:rPr>
        <w:t xml:space="preserve"> 14</w:t>
      </w:r>
      <w:r w:rsidRPr="00B824AA">
        <w:rPr>
          <w:rFonts w:ascii="Times New Roman" w:hAnsi="Times New Roman" w:cs="Times New Roman"/>
          <w:sz w:val="24"/>
          <w:szCs w:val="24"/>
        </w:rPr>
        <w:t>, podobnie jak w 2021 r.</w:t>
      </w:r>
      <w:r w:rsidR="00B74E06">
        <w:rPr>
          <w:rFonts w:ascii="Times New Roman" w:hAnsi="Times New Roman" w:cs="Times New Roman"/>
          <w:sz w:val="24"/>
          <w:szCs w:val="24"/>
        </w:rPr>
        <w:t>, a w 202</w:t>
      </w:r>
      <w:r w:rsidR="00D36CB3">
        <w:rPr>
          <w:rFonts w:ascii="Times New Roman" w:hAnsi="Times New Roman" w:cs="Times New Roman"/>
          <w:sz w:val="24"/>
          <w:szCs w:val="24"/>
        </w:rPr>
        <w:t>2</w:t>
      </w:r>
      <w:r w:rsidR="00B74E06">
        <w:rPr>
          <w:rFonts w:ascii="Times New Roman" w:hAnsi="Times New Roman" w:cs="Times New Roman"/>
          <w:sz w:val="24"/>
          <w:szCs w:val="24"/>
        </w:rPr>
        <w:t xml:space="preserve"> r. już 73 procent.</w:t>
      </w:r>
      <w:r w:rsidRPr="00B824AA">
        <w:rPr>
          <w:rFonts w:ascii="Times New Roman" w:hAnsi="Times New Roman" w:cs="Times New Roman"/>
          <w:sz w:val="24"/>
          <w:szCs w:val="24"/>
        </w:rPr>
        <w:t xml:space="preserve"> </w:t>
      </w:r>
    </w:p>
    <w:p w14:paraId="2E7311AF" w14:textId="27C12A9E"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Sytuacja dochodowa gospodarstw domowych w Polsce była we wszystkich badanych latach lepsza niż przeciętn</w:t>
      </w:r>
      <w:r w:rsidR="009530AA">
        <w:rPr>
          <w:rFonts w:ascii="Times New Roman" w:hAnsi="Times New Roman" w:cs="Times New Roman"/>
          <w:sz w:val="24"/>
          <w:szCs w:val="24"/>
        </w:rPr>
        <w:t>a</w:t>
      </w:r>
      <w:r w:rsidRPr="00B824AA">
        <w:rPr>
          <w:rFonts w:ascii="Times New Roman" w:hAnsi="Times New Roman" w:cs="Times New Roman"/>
          <w:sz w:val="24"/>
          <w:szCs w:val="24"/>
        </w:rPr>
        <w:t xml:space="preserve"> w krajach UE</w:t>
      </w:r>
      <w:r w:rsidR="00076DDB">
        <w:rPr>
          <w:rFonts w:ascii="Times New Roman" w:hAnsi="Times New Roman" w:cs="Times New Roman"/>
          <w:sz w:val="24"/>
          <w:szCs w:val="24"/>
        </w:rPr>
        <w:t xml:space="preserve"> 13</w:t>
      </w:r>
      <w:r w:rsidRPr="00B824AA">
        <w:rPr>
          <w:rFonts w:ascii="Times New Roman" w:hAnsi="Times New Roman" w:cs="Times New Roman"/>
          <w:sz w:val="24"/>
          <w:szCs w:val="24"/>
        </w:rPr>
        <w:t>. W 2010 r. przeciętne dochody gospodarstw domowych były o tylko 8</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procent wyższe niż średnie dochody w krajach UE</w:t>
      </w:r>
      <w:r w:rsidR="00076DDB">
        <w:rPr>
          <w:rFonts w:ascii="Times New Roman" w:hAnsi="Times New Roman" w:cs="Times New Roman"/>
          <w:sz w:val="24"/>
          <w:szCs w:val="24"/>
        </w:rPr>
        <w:t xml:space="preserve"> 13</w:t>
      </w:r>
      <w:r w:rsidRPr="00B824AA">
        <w:rPr>
          <w:rFonts w:ascii="Times New Roman" w:hAnsi="Times New Roman" w:cs="Times New Roman"/>
          <w:sz w:val="24"/>
          <w:szCs w:val="24"/>
        </w:rPr>
        <w:t>, a w 2020 r. były już wyższe o</w:t>
      </w:r>
      <w:r w:rsidR="003C660F">
        <w:rPr>
          <w:rFonts w:ascii="Times New Roman" w:hAnsi="Times New Roman" w:cs="Times New Roman"/>
          <w:sz w:val="24"/>
          <w:szCs w:val="24"/>
        </w:rPr>
        <w:t> </w:t>
      </w:r>
      <w:r w:rsidRPr="00B824AA">
        <w:rPr>
          <w:rFonts w:ascii="Times New Roman" w:hAnsi="Times New Roman" w:cs="Times New Roman"/>
          <w:sz w:val="24"/>
          <w:szCs w:val="24"/>
        </w:rPr>
        <w:t>1</w:t>
      </w:r>
      <w:r w:rsidR="00B74E06">
        <w:rPr>
          <w:rFonts w:ascii="Times New Roman" w:hAnsi="Times New Roman" w:cs="Times New Roman"/>
          <w:sz w:val="24"/>
          <w:szCs w:val="24"/>
        </w:rPr>
        <w:t>4</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procent, co tylko </w:t>
      </w:r>
      <w:r w:rsidR="00D908C0">
        <w:rPr>
          <w:rFonts w:ascii="Times New Roman" w:hAnsi="Times New Roman" w:cs="Times New Roman"/>
          <w:sz w:val="24"/>
          <w:szCs w:val="24"/>
        </w:rPr>
        <w:t>w niewielkim stopniu</w:t>
      </w:r>
      <w:r w:rsidR="00D908C0" w:rsidRPr="00B824AA">
        <w:rPr>
          <w:rFonts w:ascii="Times New Roman" w:hAnsi="Times New Roman" w:cs="Times New Roman"/>
          <w:sz w:val="24"/>
          <w:szCs w:val="24"/>
        </w:rPr>
        <w:t xml:space="preserve"> </w:t>
      </w:r>
      <w:r w:rsidRPr="00B824AA">
        <w:rPr>
          <w:rFonts w:ascii="Times New Roman" w:hAnsi="Times New Roman" w:cs="Times New Roman"/>
          <w:sz w:val="24"/>
          <w:szCs w:val="24"/>
        </w:rPr>
        <w:t xml:space="preserve">było </w:t>
      </w:r>
      <w:r w:rsidR="00527DCD">
        <w:rPr>
          <w:rFonts w:ascii="Times New Roman" w:hAnsi="Times New Roman" w:cs="Times New Roman"/>
          <w:sz w:val="24"/>
          <w:szCs w:val="24"/>
        </w:rPr>
        <w:t>efektem</w:t>
      </w:r>
      <w:r w:rsidR="00527DCD" w:rsidRPr="00B824AA">
        <w:rPr>
          <w:rFonts w:ascii="Times New Roman" w:hAnsi="Times New Roman" w:cs="Times New Roman"/>
          <w:sz w:val="24"/>
          <w:szCs w:val="24"/>
        </w:rPr>
        <w:t xml:space="preserve"> </w:t>
      </w:r>
      <w:r w:rsidRPr="00B824AA">
        <w:rPr>
          <w:rFonts w:ascii="Times New Roman" w:hAnsi="Times New Roman" w:cs="Times New Roman"/>
          <w:sz w:val="24"/>
          <w:szCs w:val="24"/>
        </w:rPr>
        <w:t xml:space="preserve">wejścia do Unii  Chorwacji. W 2021 r. </w:t>
      </w:r>
      <w:r w:rsidR="00B74E06">
        <w:rPr>
          <w:rFonts w:ascii="Times New Roman" w:hAnsi="Times New Roman" w:cs="Times New Roman"/>
          <w:sz w:val="24"/>
          <w:szCs w:val="24"/>
        </w:rPr>
        <w:t>oraz w</w:t>
      </w:r>
      <w:r w:rsidR="003839D0">
        <w:rPr>
          <w:rFonts w:ascii="Times New Roman" w:hAnsi="Times New Roman" w:cs="Times New Roman"/>
          <w:sz w:val="24"/>
          <w:szCs w:val="24"/>
        </w:rPr>
        <w:t xml:space="preserve"> 2022 r.</w:t>
      </w:r>
      <w:r w:rsidR="00B74E06">
        <w:rPr>
          <w:rFonts w:ascii="Times New Roman" w:hAnsi="Times New Roman" w:cs="Times New Roman"/>
          <w:sz w:val="24"/>
          <w:szCs w:val="24"/>
        </w:rPr>
        <w:t xml:space="preserve"> </w:t>
      </w:r>
      <w:r w:rsidRPr="00B824AA">
        <w:rPr>
          <w:rFonts w:ascii="Times New Roman" w:hAnsi="Times New Roman" w:cs="Times New Roman"/>
          <w:sz w:val="24"/>
          <w:szCs w:val="24"/>
        </w:rPr>
        <w:t>sytuacja ta nie uległa zmianie.</w:t>
      </w:r>
    </w:p>
    <w:p w14:paraId="0F7A352D" w14:textId="4DE57ADC" w:rsidR="00CB7564" w:rsidRPr="00B824AA" w:rsidRDefault="00CB7564" w:rsidP="00CB7564">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Odsetek osób w gospodarstwach domowych podlegających deprywacji materialnej był w</w:t>
      </w:r>
      <w:r w:rsidR="003C660F">
        <w:rPr>
          <w:rFonts w:ascii="Times New Roman" w:hAnsi="Times New Roman" w:cs="Times New Roman"/>
          <w:sz w:val="24"/>
          <w:szCs w:val="24"/>
        </w:rPr>
        <w:t> </w:t>
      </w:r>
      <w:r w:rsidRPr="00B824AA">
        <w:rPr>
          <w:rFonts w:ascii="Times New Roman" w:hAnsi="Times New Roman" w:cs="Times New Roman"/>
          <w:sz w:val="24"/>
          <w:szCs w:val="24"/>
        </w:rPr>
        <w:t>2010</w:t>
      </w:r>
      <w:r w:rsidR="00715EA6" w:rsidRPr="00B824AA">
        <w:rPr>
          <w:rFonts w:ascii="Times New Roman" w:hAnsi="Times New Roman" w:cs="Times New Roman"/>
          <w:sz w:val="24"/>
          <w:szCs w:val="24"/>
        </w:rPr>
        <w:t> </w:t>
      </w:r>
      <w:r w:rsidRPr="00B824AA">
        <w:rPr>
          <w:rFonts w:ascii="Times New Roman" w:hAnsi="Times New Roman" w:cs="Times New Roman"/>
          <w:sz w:val="24"/>
          <w:szCs w:val="24"/>
        </w:rPr>
        <w:t xml:space="preserve">r. w Polsce znacząco wyższy niż </w:t>
      </w:r>
      <w:r w:rsidR="005115FA">
        <w:rPr>
          <w:rFonts w:ascii="Times New Roman" w:hAnsi="Times New Roman" w:cs="Times New Roman"/>
          <w:sz w:val="24"/>
          <w:szCs w:val="24"/>
        </w:rPr>
        <w:t>wartość przeciętna</w:t>
      </w:r>
      <w:r w:rsidR="005115FA" w:rsidRPr="00B824AA">
        <w:rPr>
          <w:rFonts w:ascii="Times New Roman" w:hAnsi="Times New Roman" w:cs="Times New Roman"/>
          <w:sz w:val="24"/>
          <w:szCs w:val="24"/>
        </w:rPr>
        <w:t xml:space="preserve"> </w:t>
      </w:r>
      <w:r w:rsidRPr="00B824AA">
        <w:rPr>
          <w:rFonts w:ascii="Times New Roman" w:hAnsi="Times New Roman" w:cs="Times New Roman"/>
          <w:sz w:val="24"/>
          <w:szCs w:val="24"/>
        </w:rPr>
        <w:t xml:space="preserve">w krajach UE 27. Sytuacja w tym zakresie była aż o 62 procent gorsza niż w krajach UE 27. W 2015 r. uległa ona relatywnie znacznej poprawie, gdyż wartość </w:t>
      </w:r>
      <w:r w:rsidR="00C51630">
        <w:rPr>
          <w:rFonts w:ascii="Times New Roman" w:hAnsi="Times New Roman" w:cs="Times New Roman"/>
          <w:sz w:val="24"/>
          <w:szCs w:val="24"/>
        </w:rPr>
        <w:t xml:space="preserve">analogicznego </w:t>
      </w:r>
      <w:r w:rsidRPr="00B824AA">
        <w:rPr>
          <w:rFonts w:ascii="Times New Roman" w:hAnsi="Times New Roman" w:cs="Times New Roman"/>
          <w:sz w:val="24"/>
          <w:szCs w:val="24"/>
        </w:rPr>
        <w:t xml:space="preserve">wskaźnika </w:t>
      </w:r>
      <w:proofErr w:type="spellStart"/>
      <w:r w:rsidRPr="00B824AA">
        <w:rPr>
          <w:rFonts w:ascii="Times New Roman" w:hAnsi="Times New Roman" w:cs="Times New Roman"/>
          <w:i/>
          <w:iCs/>
          <w:sz w:val="24"/>
          <w:szCs w:val="24"/>
        </w:rPr>
        <w:t>catch</w:t>
      </w:r>
      <w:r w:rsidR="009B2D4F">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sz w:val="24"/>
          <w:szCs w:val="24"/>
        </w:rPr>
        <w:t xml:space="preserve"> osiągnęła </w:t>
      </w:r>
      <w:r w:rsidR="00B74E06">
        <w:rPr>
          <w:rFonts w:ascii="Times New Roman" w:hAnsi="Times New Roman" w:cs="Times New Roman"/>
          <w:sz w:val="24"/>
          <w:szCs w:val="24"/>
        </w:rPr>
        <w:t>73</w:t>
      </w:r>
      <w:r w:rsidRPr="00B824AA">
        <w:rPr>
          <w:rFonts w:ascii="Times New Roman" w:hAnsi="Times New Roman" w:cs="Times New Roman"/>
          <w:sz w:val="24"/>
          <w:szCs w:val="24"/>
        </w:rPr>
        <w:t xml:space="preserve"> procent. W 2020 r. odsetek osób ubogich w</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Polsce mierzony poziomem deprywacji materialnej </w:t>
      </w:r>
      <w:r w:rsidR="00B74E06">
        <w:rPr>
          <w:rFonts w:ascii="Times New Roman" w:hAnsi="Times New Roman" w:cs="Times New Roman"/>
          <w:sz w:val="24"/>
          <w:szCs w:val="24"/>
        </w:rPr>
        <w:t xml:space="preserve">i społecznej </w:t>
      </w:r>
      <w:r w:rsidRPr="00B824AA">
        <w:rPr>
          <w:rFonts w:ascii="Times New Roman" w:hAnsi="Times New Roman" w:cs="Times New Roman"/>
          <w:sz w:val="24"/>
          <w:szCs w:val="24"/>
        </w:rPr>
        <w:t>uległ skokowemu zmniejszeniu na</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skutek uruchomienia programu „Rodzina 500+”, który </w:t>
      </w:r>
      <w:r w:rsidRPr="00B824AA">
        <w:rPr>
          <w:rFonts w:ascii="Times New Roman" w:hAnsi="Times New Roman" w:cs="Times New Roman"/>
          <w:sz w:val="24"/>
          <w:szCs w:val="24"/>
        </w:rPr>
        <w:lastRenderedPageBreak/>
        <w:t>przyczynił się do znacznej poprawy sytuacji finansowej przede wszystkim najuboższych rodzin. W efekcie sytuacja w Polsce odnośnie deprywacji materialnej była w 2020 r. o 74 procent lepsza niż przeciętnie w krajach UE 27. Jeszcze większe relatywne, korzystne dla polskich gospodarstw domowych, zmiany obserwujemy w stosunku do krajów UE</w:t>
      </w:r>
      <w:r w:rsidR="00943AB0" w:rsidRPr="00B824AA">
        <w:rPr>
          <w:rFonts w:ascii="Times New Roman" w:hAnsi="Times New Roman" w:cs="Times New Roman"/>
          <w:sz w:val="24"/>
          <w:szCs w:val="24"/>
        </w:rPr>
        <w:t xml:space="preserve"> 14</w:t>
      </w:r>
      <w:r w:rsidRPr="00B824AA">
        <w:rPr>
          <w:rFonts w:ascii="Times New Roman" w:hAnsi="Times New Roman" w:cs="Times New Roman"/>
          <w:sz w:val="24"/>
          <w:szCs w:val="24"/>
        </w:rPr>
        <w:t xml:space="preserve">. Wartość wskaźnika </w:t>
      </w:r>
      <w:proofErr w:type="spellStart"/>
      <w:r w:rsidRPr="00B824AA">
        <w:rPr>
          <w:rFonts w:ascii="Times New Roman" w:hAnsi="Times New Roman" w:cs="Times New Roman"/>
          <w:i/>
          <w:iCs/>
          <w:sz w:val="24"/>
          <w:szCs w:val="24"/>
        </w:rPr>
        <w:t>catch</w:t>
      </w:r>
      <w:r w:rsidR="009B2D4F">
        <w:rPr>
          <w:rFonts w:ascii="Times New Roman" w:hAnsi="Times New Roman" w:cs="Times New Roman"/>
          <w:i/>
          <w:iCs/>
          <w:sz w:val="24"/>
          <w:szCs w:val="24"/>
        </w:rPr>
        <w:t>-</w:t>
      </w:r>
      <w:r w:rsidRPr="00B824AA">
        <w:rPr>
          <w:rFonts w:ascii="Times New Roman" w:hAnsi="Times New Roman" w:cs="Times New Roman"/>
          <w:i/>
          <w:iCs/>
          <w:sz w:val="24"/>
          <w:szCs w:val="24"/>
        </w:rPr>
        <w:t>up</w:t>
      </w:r>
      <w:proofErr w:type="spellEnd"/>
      <w:r w:rsidRPr="00B824AA">
        <w:rPr>
          <w:rFonts w:ascii="Times New Roman" w:hAnsi="Times New Roman" w:cs="Times New Roman"/>
          <w:sz w:val="24"/>
          <w:szCs w:val="24"/>
        </w:rPr>
        <w:t xml:space="preserve"> zwiększyła się z</w:t>
      </w:r>
      <w:r w:rsidR="003C660F">
        <w:rPr>
          <w:rFonts w:ascii="Times New Roman" w:hAnsi="Times New Roman" w:cs="Times New Roman"/>
          <w:sz w:val="24"/>
          <w:szCs w:val="24"/>
        </w:rPr>
        <w:t> </w:t>
      </w:r>
      <w:r w:rsidRPr="00B824AA">
        <w:rPr>
          <w:rFonts w:ascii="Times New Roman" w:hAnsi="Times New Roman" w:cs="Times New Roman"/>
          <w:sz w:val="24"/>
          <w:szCs w:val="24"/>
        </w:rPr>
        <w:t>33</w:t>
      </w:r>
      <w:r w:rsidR="00943AB0" w:rsidRPr="00B824AA">
        <w:rPr>
          <w:rFonts w:ascii="Times New Roman" w:hAnsi="Times New Roman" w:cs="Times New Roman"/>
          <w:sz w:val="24"/>
          <w:szCs w:val="24"/>
        </w:rPr>
        <w:t> </w:t>
      </w:r>
      <w:r w:rsidRPr="00B824AA">
        <w:rPr>
          <w:rFonts w:ascii="Times New Roman" w:hAnsi="Times New Roman" w:cs="Times New Roman"/>
          <w:sz w:val="24"/>
          <w:szCs w:val="24"/>
        </w:rPr>
        <w:t xml:space="preserve">procent </w:t>
      </w:r>
      <w:r w:rsidR="003839D0">
        <w:rPr>
          <w:rFonts w:ascii="Times New Roman" w:hAnsi="Times New Roman" w:cs="Times New Roman"/>
          <w:sz w:val="24"/>
          <w:szCs w:val="24"/>
        </w:rPr>
        <w:t xml:space="preserve">w 2010 r. </w:t>
      </w:r>
      <w:r w:rsidRPr="00B824AA">
        <w:rPr>
          <w:rFonts w:ascii="Times New Roman" w:hAnsi="Times New Roman" w:cs="Times New Roman"/>
          <w:sz w:val="24"/>
          <w:szCs w:val="24"/>
        </w:rPr>
        <w:t>do 17</w:t>
      </w:r>
      <w:r w:rsidR="00B74E06">
        <w:rPr>
          <w:rFonts w:ascii="Times New Roman" w:hAnsi="Times New Roman" w:cs="Times New Roman"/>
          <w:sz w:val="24"/>
          <w:szCs w:val="24"/>
        </w:rPr>
        <w:t>7</w:t>
      </w:r>
      <w:r w:rsidRPr="00B824AA">
        <w:rPr>
          <w:rFonts w:ascii="Times New Roman" w:hAnsi="Times New Roman" w:cs="Times New Roman"/>
          <w:sz w:val="24"/>
          <w:szCs w:val="24"/>
        </w:rPr>
        <w:t xml:space="preserve"> procent</w:t>
      </w:r>
      <w:r w:rsidR="00B74E06">
        <w:rPr>
          <w:rFonts w:ascii="Times New Roman" w:hAnsi="Times New Roman" w:cs="Times New Roman"/>
          <w:sz w:val="24"/>
          <w:szCs w:val="24"/>
        </w:rPr>
        <w:t xml:space="preserve"> w 2022 r. Należy zauważyć,</w:t>
      </w:r>
      <w:r w:rsidRPr="00B824AA">
        <w:rPr>
          <w:rFonts w:ascii="Times New Roman" w:hAnsi="Times New Roman" w:cs="Times New Roman"/>
          <w:sz w:val="24"/>
          <w:szCs w:val="24"/>
        </w:rPr>
        <w:t xml:space="preserve"> </w:t>
      </w:r>
      <w:r w:rsidR="00B74E06">
        <w:rPr>
          <w:rFonts w:ascii="Times New Roman" w:hAnsi="Times New Roman" w:cs="Times New Roman"/>
          <w:sz w:val="24"/>
          <w:szCs w:val="24"/>
        </w:rPr>
        <w:t>że w 2021 r. w trakcie pandemii, wartość tego wskaźnika znacznie spadła w</w:t>
      </w:r>
      <w:r w:rsidR="00242DAD">
        <w:rPr>
          <w:rFonts w:ascii="Times New Roman" w:hAnsi="Times New Roman" w:cs="Times New Roman"/>
          <w:sz w:val="24"/>
          <w:szCs w:val="24"/>
        </w:rPr>
        <w:t> porównaniu</w:t>
      </w:r>
      <w:r w:rsidR="00B74E06">
        <w:rPr>
          <w:rFonts w:ascii="Times New Roman" w:hAnsi="Times New Roman" w:cs="Times New Roman"/>
          <w:sz w:val="24"/>
          <w:szCs w:val="24"/>
        </w:rPr>
        <w:t xml:space="preserve"> do 20</w:t>
      </w:r>
      <w:r w:rsidR="00FE126E">
        <w:rPr>
          <w:rFonts w:ascii="Times New Roman" w:hAnsi="Times New Roman" w:cs="Times New Roman"/>
          <w:sz w:val="24"/>
          <w:szCs w:val="24"/>
        </w:rPr>
        <w:t>2</w:t>
      </w:r>
      <w:r w:rsidR="00242DAD">
        <w:rPr>
          <w:rFonts w:ascii="Times New Roman" w:hAnsi="Times New Roman" w:cs="Times New Roman"/>
          <w:sz w:val="24"/>
          <w:szCs w:val="24"/>
        </w:rPr>
        <w:t>0</w:t>
      </w:r>
      <w:r w:rsidR="00FE126E">
        <w:rPr>
          <w:rFonts w:ascii="Times New Roman" w:hAnsi="Times New Roman" w:cs="Times New Roman"/>
          <w:sz w:val="24"/>
          <w:szCs w:val="24"/>
        </w:rPr>
        <w:t xml:space="preserve"> r. </w:t>
      </w:r>
      <w:r w:rsidRPr="00B824AA">
        <w:rPr>
          <w:rFonts w:ascii="Times New Roman" w:hAnsi="Times New Roman" w:cs="Times New Roman"/>
          <w:sz w:val="24"/>
          <w:szCs w:val="24"/>
        </w:rPr>
        <w:t xml:space="preserve">w </w:t>
      </w:r>
      <w:r w:rsidR="00242DAD">
        <w:rPr>
          <w:rFonts w:ascii="Times New Roman" w:hAnsi="Times New Roman" w:cs="Times New Roman"/>
          <w:sz w:val="24"/>
          <w:szCs w:val="24"/>
        </w:rPr>
        <w:t>porównaniu</w:t>
      </w:r>
      <w:r w:rsidRPr="00B824AA">
        <w:rPr>
          <w:rFonts w:ascii="Times New Roman" w:hAnsi="Times New Roman" w:cs="Times New Roman"/>
          <w:sz w:val="24"/>
          <w:szCs w:val="24"/>
        </w:rPr>
        <w:t xml:space="preserve"> do </w:t>
      </w:r>
      <w:r w:rsidR="00242DAD">
        <w:rPr>
          <w:rFonts w:ascii="Times New Roman" w:hAnsi="Times New Roman" w:cs="Times New Roman"/>
          <w:sz w:val="24"/>
          <w:szCs w:val="24"/>
        </w:rPr>
        <w:t>krajów UE 27, zarówno UE 14, jak i UE 13</w:t>
      </w:r>
      <w:r w:rsidRPr="00B824AA">
        <w:rPr>
          <w:rFonts w:ascii="Times New Roman" w:hAnsi="Times New Roman" w:cs="Times New Roman"/>
          <w:sz w:val="24"/>
          <w:szCs w:val="24"/>
        </w:rPr>
        <w:t>. W 202</w:t>
      </w:r>
      <w:r w:rsidR="00FE126E">
        <w:rPr>
          <w:rFonts w:ascii="Times New Roman" w:hAnsi="Times New Roman" w:cs="Times New Roman"/>
          <w:sz w:val="24"/>
          <w:szCs w:val="24"/>
        </w:rPr>
        <w:t>2</w:t>
      </w:r>
      <w:r w:rsidR="00242DAD">
        <w:rPr>
          <w:rFonts w:ascii="Times New Roman" w:hAnsi="Times New Roman" w:cs="Times New Roman"/>
          <w:sz w:val="24"/>
          <w:szCs w:val="24"/>
        </w:rPr>
        <w:t> </w:t>
      </w:r>
      <w:r w:rsidRPr="00B824AA">
        <w:rPr>
          <w:rFonts w:ascii="Times New Roman" w:hAnsi="Times New Roman" w:cs="Times New Roman"/>
          <w:sz w:val="24"/>
          <w:szCs w:val="24"/>
        </w:rPr>
        <w:t xml:space="preserve">r. wskaźnik ten </w:t>
      </w:r>
      <w:r w:rsidR="00242DAD">
        <w:rPr>
          <w:rFonts w:ascii="Times New Roman" w:hAnsi="Times New Roman" w:cs="Times New Roman"/>
          <w:sz w:val="24"/>
          <w:szCs w:val="24"/>
        </w:rPr>
        <w:t xml:space="preserve">wzrósł i </w:t>
      </w:r>
      <w:r w:rsidRPr="00B824AA">
        <w:rPr>
          <w:rFonts w:ascii="Times New Roman" w:hAnsi="Times New Roman" w:cs="Times New Roman"/>
          <w:sz w:val="24"/>
          <w:szCs w:val="24"/>
        </w:rPr>
        <w:t>osiągnął wartość 1</w:t>
      </w:r>
      <w:r w:rsidR="00FE126E">
        <w:rPr>
          <w:rFonts w:ascii="Times New Roman" w:hAnsi="Times New Roman" w:cs="Times New Roman"/>
          <w:sz w:val="24"/>
          <w:szCs w:val="24"/>
        </w:rPr>
        <w:t>43</w:t>
      </w:r>
      <w:r w:rsidRPr="00B824AA">
        <w:rPr>
          <w:rFonts w:ascii="Times New Roman" w:hAnsi="Times New Roman" w:cs="Times New Roman"/>
          <w:sz w:val="24"/>
          <w:szCs w:val="24"/>
        </w:rPr>
        <w:t xml:space="preserve"> procent</w:t>
      </w:r>
      <w:r w:rsidR="00242DAD">
        <w:rPr>
          <w:rFonts w:ascii="Times New Roman" w:hAnsi="Times New Roman" w:cs="Times New Roman"/>
          <w:sz w:val="24"/>
          <w:szCs w:val="24"/>
        </w:rPr>
        <w:t>, a więc nieznacznie poniżej wartości obserwowanej w 2020 r.</w:t>
      </w:r>
    </w:p>
    <w:p w14:paraId="42335680" w14:textId="1C1DCBFA" w:rsidR="00CB7564" w:rsidRPr="00B824AA" w:rsidRDefault="00DA74EA" w:rsidP="00DB6F0D">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3</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t>
      </w:r>
      <w:r w:rsidR="00CB7564" w:rsidRPr="00B824AA">
        <w:rPr>
          <w:rFonts w:ascii="Times New Roman" w:hAnsi="Times New Roman" w:cs="Times New Roman"/>
          <w:sz w:val="22"/>
          <w:szCs w:val="22"/>
        </w:rPr>
        <w:t xml:space="preserve">Wskaźniki </w:t>
      </w:r>
      <w:proofErr w:type="spellStart"/>
      <w:r w:rsidR="00CB7564" w:rsidRPr="00B824AA">
        <w:rPr>
          <w:rFonts w:ascii="Times New Roman" w:hAnsi="Times New Roman" w:cs="Times New Roman"/>
          <w:sz w:val="22"/>
          <w:szCs w:val="22"/>
        </w:rPr>
        <w:t>catch</w:t>
      </w:r>
      <w:r w:rsidR="009B2D4F">
        <w:rPr>
          <w:rFonts w:ascii="Times New Roman" w:hAnsi="Times New Roman" w:cs="Times New Roman"/>
          <w:sz w:val="22"/>
          <w:szCs w:val="22"/>
        </w:rPr>
        <w:t>-</w:t>
      </w:r>
      <w:r w:rsidR="00CB7564" w:rsidRPr="00B824AA">
        <w:rPr>
          <w:rFonts w:ascii="Times New Roman" w:hAnsi="Times New Roman" w:cs="Times New Roman"/>
          <w:sz w:val="22"/>
          <w:szCs w:val="22"/>
        </w:rPr>
        <w:t>up</w:t>
      </w:r>
      <w:proofErr w:type="spellEnd"/>
      <w:r w:rsidR="00CB7564" w:rsidRPr="00B824AA">
        <w:rPr>
          <w:rFonts w:ascii="Times New Roman" w:hAnsi="Times New Roman" w:cs="Times New Roman"/>
          <w:sz w:val="22"/>
          <w:szCs w:val="22"/>
        </w:rPr>
        <w:t xml:space="preserve"> w </w:t>
      </w:r>
      <w:r w:rsidR="00943AB0" w:rsidRPr="00B824AA">
        <w:rPr>
          <w:rFonts w:ascii="Times New Roman" w:hAnsi="Times New Roman" w:cs="Times New Roman"/>
          <w:sz w:val="22"/>
          <w:szCs w:val="22"/>
        </w:rPr>
        <w:t>wymiarze</w:t>
      </w:r>
      <w:r w:rsidR="00CB7564" w:rsidRPr="00B824AA">
        <w:rPr>
          <w:rFonts w:ascii="Times New Roman" w:hAnsi="Times New Roman" w:cs="Times New Roman"/>
          <w:sz w:val="22"/>
          <w:szCs w:val="22"/>
        </w:rPr>
        <w:t xml:space="preserve"> Dochodów i deprywacji material</w:t>
      </w:r>
      <w:r w:rsidR="00712D84">
        <w:rPr>
          <w:rFonts w:ascii="Times New Roman" w:hAnsi="Times New Roman" w:cs="Times New Roman"/>
          <w:sz w:val="22"/>
          <w:szCs w:val="22"/>
        </w:rPr>
        <w:t xml:space="preserve">nej </w:t>
      </w:r>
      <w:r w:rsidR="00FE126E">
        <w:rPr>
          <w:rFonts w:ascii="Times New Roman" w:hAnsi="Times New Roman" w:cs="Times New Roman"/>
          <w:sz w:val="22"/>
          <w:szCs w:val="22"/>
        </w:rPr>
        <w:t xml:space="preserve">i społecznej </w:t>
      </w:r>
      <w:r w:rsidR="00712D84">
        <w:rPr>
          <w:rFonts w:ascii="Times New Roman" w:hAnsi="Times New Roman" w:cs="Times New Roman"/>
          <w:sz w:val="22"/>
          <w:szCs w:val="22"/>
        </w:rPr>
        <w:t xml:space="preserve">w latach 2010, 2015, 2020, </w:t>
      </w:r>
      <w:r w:rsidR="00CB7564" w:rsidRPr="00B824AA">
        <w:rPr>
          <w:rFonts w:ascii="Times New Roman" w:hAnsi="Times New Roman" w:cs="Times New Roman"/>
          <w:sz w:val="22"/>
          <w:szCs w:val="22"/>
        </w:rPr>
        <w:t>2021</w:t>
      </w:r>
      <w:r w:rsidR="00712D84">
        <w:rPr>
          <w:rFonts w:ascii="Times New Roman" w:hAnsi="Times New Roman" w:cs="Times New Roman"/>
          <w:sz w:val="22"/>
          <w:szCs w:val="22"/>
        </w:rPr>
        <w:t xml:space="preserve"> i 2022</w:t>
      </w:r>
      <w:r w:rsidR="00CB7564"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CB7564" w:rsidRPr="00B824AA" w14:paraId="3EF83B2C" w14:textId="77777777" w:rsidTr="00CB7564">
        <w:trPr>
          <w:trHeight w:val="367"/>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468A4F41" w14:textId="70F08FF2" w:rsidR="00CB7564" w:rsidRPr="00B824AA" w:rsidRDefault="00943AB0">
            <w:pPr>
              <w:jc w:val="center"/>
              <w:rPr>
                <w:rFonts w:ascii="Times New Roman" w:hAnsi="Times New Roman" w:cs="Times New Roman"/>
                <w:b/>
                <w:bCs/>
              </w:rPr>
            </w:pPr>
            <w:r w:rsidRPr="00B824AA">
              <w:rPr>
                <w:rFonts w:ascii="Times New Roman" w:hAnsi="Times New Roman" w:cs="Times New Roman"/>
                <w:b/>
                <w:bCs/>
              </w:rPr>
              <w:t>W</w:t>
            </w:r>
            <w:r w:rsidR="00776085" w:rsidRPr="00B824AA">
              <w:rPr>
                <w:rFonts w:ascii="Times New Roman" w:hAnsi="Times New Roman" w:cs="Times New Roman"/>
                <w:b/>
                <w:bCs/>
              </w:rPr>
              <w:t>ymiar</w:t>
            </w:r>
            <w:r w:rsidR="00CB7564" w:rsidRPr="00B824AA">
              <w:rPr>
                <w:rFonts w:ascii="Times New Roman" w:hAnsi="Times New Roman" w:cs="Times New Roman"/>
                <w:b/>
                <w:bCs/>
              </w:rPr>
              <w:t xml:space="preserve"> i wskaźniki cząstkowe oraz lata</w:t>
            </w:r>
          </w:p>
        </w:tc>
        <w:tc>
          <w:tcPr>
            <w:tcW w:w="6462" w:type="dxa"/>
            <w:gridSpan w:val="3"/>
            <w:tcBorders>
              <w:top w:val="single" w:sz="4" w:space="0" w:color="auto"/>
              <w:left w:val="single" w:sz="4" w:space="0" w:color="auto"/>
              <w:bottom w:val="single" w:sz="4" w:space="0" w:color="auto"/>
              <w:right w:val="single" w:sz="4" w:space="0" w:color="auto"/>
            </w:tcBorders>
            <w:vAlign w:val="center"/>
            <w:hideMark/>
          </w:tcPr>
          <w:p w14:paraId="430F59E3" w14:textId="2632123A" w:rsidR="00CB7564" w:rsidRPr="00B824AA" w:rsidRDefault="00CB7564">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rPr>
              <w:t>catch-up</w:t>
            </w:r>
            <w:proofErr w:type="spellEnd"/>
            <w:r w:rsidRPr="00B824AA">
              <w:rPr>
                <w:rFonts w:ascii="Times New Roman" w:hAnsi="Times New Roman" w:cs="Times New Roman"/>
                <w:b/>
                <w:bCs/>
              </w:rPr>
              <w:t xml:space="preserve"> w %</w:t>
            </w:r>
          </w:p>
        </w:tc>
      </w:tr>
      <w:tr w:rsidR="00C9487A" w:rsidRPr="00B824AA" w14:paraId="4DC62D64" w14:textId="77777777" w:rsidTr="00CB7564">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2DB6D" w14:textId="77777777" w:rsidR="00C9487A" w:rsidRPr="00B824AA" w:rsidRDefault="00C9487A" w:rsidP="00C9487A">
            <w:pPr>
              <w:rPr>
                <w:rFonts w:ascii="Times New Roman" w:hAnsi="Times New Roman" w:cs="Times New Roman"/>
                <w:b/>
                <w:bCs/>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0CA8D9A4" w14:textId="0B5D2CF0"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4B2116A" w14:textId="3F20D484"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52E91E" w14:textId="46AC34A0"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13</w:t>
            </w:r>
          </w:p>
        </w:tc>
      </w:tr>
      <w:tr w:rsidR="00CB7564" w:rsidRPr="00B824AA" w14:paraId="1C23B8D8" w14:textId="77777777" w:rsidTr="00CB7564">
        <w:trPr>
          <w:trHeight w:val="575"/>
        </w:trPr>
        <w:tc>
          <w:tcPr>
            <w:tcW w:w="2551" w:type="dxa"/>
            <w:tcBorders>
              <w:top w:val="single" w:sz="4" w:space="0" w:color="auto"/>
              <w:left w:val="single" w:sz="4" w:space="0" w:color="auto"/>
              <w:bottom w:val="nil"/>
              <w:right w:val="single" w:sz="4" w:space="0" w:color="auto"/>
            </w:tcBorders>
            <w:vAlign w:val="center"/>
            <w:hideMark/>
          </w:tcPr>
          <w:p w14:paraId="46C83B28" w14:textId="5DF02279" w:rsidR="00CB7564" w:rsidRPr="00B824AA" w:rsidRDefault="00CB7564">
            <w:pPr>
              <w:ind w:left="316"/>
              <w:rPr>
                <w:rFonts w:ascii="Times New Roman" w:hAnsi="Times New Roman" w:cs="Times New Roman"/>
                <w:b/>
                <w:bCs/>
              </w:rPr>
            </w:pPr>
            <w:r w:rsidRPr="00B824AA">
              <w:rPr>
                <w:rFonts w:ascii="Times New Roman" w:hAnsi="Times New Roman" w:cs="Times New Roman"/>
                <w:b/>
                <w:bCs/>
                <w:color w:val="000000"/>
              </w:rPr>
              <w:t xml:space="preserve">Dochody </w:t>
            </w:r>
            <w:r w:rsidR="00FE126E">
              <w:rPr>
                <w:rFonts w:ascii="Times New Roman" w:hAnsi="Times New Roman" w:cs="Times New Roman"/>
                <w:b/>
                <w:bCs/>
                <w:color w:val="000000"/>
              </w:rPr>
              <w:t>oraz</w:t>
            </w:r>
            <w:r w:rsidR="00392B71" w:rsidRPr="00B824AA">
              <w:rPr>
                <w:rFonts w:ascii="Times New Roman" w:hAnsi="Times New Roman" w:cs="Times New Roman"/>
                <w:b/>
                <w:bCs/>
                <w:color w:val="000000"/>
              </w:rPr>
              <w:t> </w:t>
            </w:r>
            <w:r w:rsidRPr="00B824AA">
              <w:rPr>
                <w:rFonts w:ascii="Times New Roman" w:hAnsi="Times New Roman" w:cs="Times New Roman"/>
                <w:b/>
                <w:bCs/>
                <w:color w:val="000000"/>
              </w:rPr>
              <w:t>deprywacja materialna</w:t>
            </w:r>
            <w:r w:rsidR="00FE126E">
              <w:rPr>
                <w:rFonts w:ascii="Times New Roman" w:hAnsi="Times New Roman" w:cs="Times New Roman"/>
                <w:b/>
                <w:bCs/>
                <w:color w:val="000000"/>
              </w:rPr>
              <w:t xml:space="preserve"> i społeczna</w:t>
            </w:r>
          </w:p>
        </w:tc>
        <w:tc>
          <w:tcPr>
            <w:tcW w:w="2154" w:type="dxa"/>
            <w:tcBorders>
              <w:top w:val="single" w:sz="4" w:space="0" w:color="auto"/>
              <w:left w:val="single" w:sz="4" w:space="0" w:color="auto"/>
              <w:bottom w:val="nil"/>
              <w:right w:val="single" w:sz="4" w:space="0" w:color="auto"/>
            </w:tcBorders>
          </w:tcPr>
          <w:p w14:paraId="0A92419B" w14:textId="77777777" w:rsidR="00CB7564" w:rsidRPr="00B824AA" w:rsidRDefault="00CB7564">
            <w:pPr>
              <w:tabs>
                <w:tab w:val="decimal" w:pos="1135"/>
              </w:tabs>
              <w:rPr>
                <w:rFonts w:ascii="Times New Roman" w:hAnsi="Times New Roman" w:cs="Times New Roman"/>
                <w:b/>
                <w:bCs/>
              </w:rPr>
            </w:pPr>
          </w:p>
        </w:tc>
        <w:tc>
          <w:tcPr>
            <w:tcW w:w="2154" w:type="dxa"/>
            <w:tcBorders>
              <w:top w:val="single" w:sz="4" w:space="0" w:color="auto"/>
              <w:left w:val="single" w:sz="4" w:space="0" w:color="auto"/>
              <w:bottom w:val="nil"/>
              <w:right w:val="single" w:sz="4" w:space="0" w:color="auto"/>
            </w:tcBorders>
          </w:tcPr>
          <w:p w14:paraId="27EB8325" w14:textId="77777777" w:rsidR="00CB7564" w:rsidRPr="00B824AA" w:rsidRDefault="00CB7564">
            <w:pPr>
              <w:tabs>
                <w:tab w:val="decimal" w:pos="1107"/>
              </w:tabs>
              <w:rPr>
                <w:rFonts w:ascii="Times New Roman" w:hAnsi="Times New Roman" w:cs="Times New Roman"/>
                <w:b/>
                <w:bCs/>
              </w:rPr>
            </w:pPr>
          </w:p>
        </w:tc>
        <w:tc>
          <w:tcPr>
            <w:tcW w:w="2154" w:type="dxa"/>
            <w:tcBorders>
              <w:top w:val="single" w:sz="4" w:space="0" w:color="auto"/>
              <w:left w:val="single" w:sz="4" w:space="0" w:color="auto"/>
              <w:bottom w:val="nil"/>
              <w:right w:val="single" w:sz="4" w:space="0" w:color="auto"/>
            </w:tcBorders>
          </w:tcPr>
          <w:p w14:paraId="1112DFE3" w14:textId="77777777" w:rsidR="00CB7564" w:rsidRPr="00B824AA" w:rsidRDefault="00CB7564">
            <w:pPr>
              <w:tabs>
                <w:tab w:val="decimal" w:pos="1221"/>
              </w:tabs>
              <w:rPr>
                <w:rFonts w:ascii="Times New Roman" w:hAnsi="Times New Roman" w:cs="Times New Roman"/>
                <w:b/>
                <w:bCs/>
              </w:rPr>
            </w:pPr>
          </w:p>
        </w:tc>
      </w:tr>
      <w:tr w:rsidR="001271B9" w:rsidRPr="00B824AA" w14:paraId="7D57B0BC" w14:textId="77777777" w:rsidTr="00866620">
        <w:tc>
          <w:tcPr>
            <w:tcW w:w="2551" w:type="dxa"/>
            <w:tcBorders>
              <w:top w:val="nil"/>
              <w:left w:val="single" w:sz="4" w:space="0" w:color="auto"/>
              <w:bottom w:val="nil"/>
              <w:right w:val="single" w:sz="4" w:space="0" w:color="auto"/>
            </w:tcBorders>
            <w:vAlign w:val="center"/>
            <w:hideMark/>
          </w:tcPr>
          <w:p w14:paraId="217704D9" w14:textId="77777777" w:rsidR="001271B9" w:rsidRPr="00B824AA" w:rsidRDefault="001271B9">
            <w:pPr>
              <w:ind w:left="316"/>
              <w:rPr>
                <w:rFonts w:ascii="Times New Roman" w:hAnsi="Times New Roman" w:cs="Times New Roman"/>
                <w:b/>
                <w:bCs/>
              </w:rPr>
            </w:pPr>
            <w:r w:rsidRPr="00B824AA">
              <w:rPr>
                <w:rFonts w:ascii="Times New Roman" w:hAnsi="Times New Roman" w:cs="Times New Roman"/>
                <w:b/>
                <w:bCs/>
                <w:color w:val="000000"/>
              </w:rPr>
              <w:t>2010</w:t>
            </w:r>
          </w:p>
        </w:tc>
        <w:tc>
          <w:tcPr>
            <w:tcW w:w="2154" w:type="dxa"/>
            <w:tcBorders>
              <w:top w:val="nil"/>
              <w:left w:val="single" w:sz="4" w:space="0" w:color="auto"/>
              <w:bottom w:val="nil"/>
              <w:right w:val="single" w:sz="4" w:space="0" w:color="auto"/>
            </w:tcBorders>
            <w:hideMark/>
          </w:tcPr>
          <w:p w14:paraId="6E01AC28" w14:textId="5955A52D" w:rsidR="001271B9" w:rsidRPr="001271B9" w:rsidRDefault="001271B9">
            <w:pPr>
              <w:tabs>
                <w:tab w:val="decimal" w:pos="1135"/>
              </w:tabs>
              <w:rPr>
                <w:rFonts w:ascii="Times New Roman" w:hAnsi="Times New Roman" w:cs="Times New Roman"/>
                <w:b/>
                <w:bCs/>
              </w:rPr>
            </w:pPr>
            <w:r w:rsidRPr="001271B9">
              <w:rPr>
                <w:rFonts w:ascii="Times New Roman" w:hAnsi="Times New Roman" w:cs="Times New Roman"/>
              </w:rPr>
              <w:t>45</w:t>
            </w:r>
          </w:p>
        </w:tc>
        <w:tc>
          <w:tcPr>
            <w:tcW w:w="2154" w:type="dxa"/>
            <w:tcBorders>
              <w:top w:val="nil"/>
              <w:left w:val="single" w:sz="4" w:space="0" w:color="auto"/>
              <w:bottom w:val="nil"/>
              <w:right w:val="single" w:sz="4" w:space="0" w:color="auto"/>
            </w:tcBorders>
            <w:hideMark/>
          </w:tcPr>
          <w:p w14:paraId="513664A1" w14:textId="531130C6" w:rsidR="001271B9" w:rsidRPr="001271B9" w:rsidRDefault="001271B9">
            <w:pPr>
              <w:tabs>
                <w:tab w:val="decimal" w:pos="1107"/>
              </w:tabs>
              <w:rPr>
                <w:rFonts w:ascii="Times New Roman" w:hAnsi="Times New Roman" w:cs="Times New Roman"/>
                <w:b/>
                <w:bCs/>
              </w:rPr>
            </w:pPr>
            <w:r w:rsidRPr="001271B9">
              <w:rPr>
                <w:rFonts w:ascii="Times New Roman" w:hAnsi="Times New Roman" w:cs="Times New Roman"/>
              </w:rPr>
              <w:t>39</w:t>
            </w:r>
          </w:p>
        </w:tc>
        <w:tc>
          <w:tcPr>
            <w:tcW w:w="2154" w:type="dxa"/>
            <w:tcBorders>
              <w:top w:val="nil"/>
              <w:left w:val="single" w:sz="4" w:space="0" w:color="auto"/>
              <w:bottom w:val="nil"/>
              <w:right w:val="single" w:sz="4" w:space="0" w:color="auto"/>
            </w:tcBorders>
            <w:hideMark/>
          </w:tcPr>
          <w:p w14:paraId="2EBF561F" w14:textId="035A6BF5" w:rsidR="001271B9" w:rsidRPr="001271B9" w:rsidRDefault="001271B9">
            <w:pPr>
              <w:tabs>
                <w:tab w:val="decimal" w:pos="1221"/>
              </w:tabs>
              <w:rPr>
                <w:rFonts w:ascii="Times New Roman" w:hAnsi="Times New Roman" w:cs="Times New Roman"/>
                <w:b/>
                <w:bCs/>
              </w:rPr>
            </w:pPr>
            <w:r w:rsidRPr="001271B9">
              <w:rPr>
                <w:rFonts w:ascii="Times New Roman" w:hAnsi="Times New Roman" w:cs="Times New Roman"/>
              </w:rPr>
              <w:t>104</w:t>
            </w:r>
          </w:p>
        </w:tc>
      </w:tr>
      <w:tr w:rsidR="001271B9" w:rsidRPr="00B824AA" w14:paraId="51844EB7" w14:textId="77777777" w:rsidTr="00866620">
        <w:tc>
          <w:tcPr>
            <w:tcW w:w="2551" w:type="dxa"/>
            <w:tcBorders>
              <w:top w:val="nil"/>
              <w:left w:val="single" w:sz="4" w:space="0" w:color="auto"/>
              <w:bottom w:val="nil"/>
              <w:right w:val="single" w:sz="4" w:space="0" w:color="auto"/>
            </w:tcBorders>
            <w:vAlign w:val="center"/>
            <w:hideMark/>
          </w:tcPr>
          <w:p w14:paraId="28241575" w14:textId="77777777" w:rsidR="001271B9" w:rsidRPr="00B824AA" w:rsidRDefault="001271B9">
            <w:pPr>
              <w:ind w:left="316"/>
              <w:rPr>
                <w:rFonts w:ascii="Times New Roman" w:hAnsi="Times New Roman" w:cs="Times New Roman"/>
                <w:b/>
                <w:bCs/>
              </w:rPr>
            </w:pPr>
            <w:r w:rsidRPr="00B824AA">
              <w:rPr>
                <w:rFonts w:ascii="Times New Roman" w:hAnsi="Times New Roman" w:cs="Times New Roman"/>
                <w:b/>
                <w:bCs/>
                <w:color w:val="000000"/>
              </w:rPr>
              <w:t>2015</w:t>
            </w:r>
          </w:p>
        </w:tc>
        <w:tc>
          <w:tcPr>
            <w:tcW w:w="2154" w:type="dxa"/>
            <w:tcBorders>
              <w:top w:val="nil"/>
              <w:left w:val="single" w:sz="4" w:space="0" w:color="auto"/>
              <w:bottom w:val="nil"/>
              <w:right w:val="single" w:sz="4" w:space="0" w:color="auto"/>
            </w:tcBorders>
            <w:hideMark/>
          </w:tcPr>
          <w:p w14:paraId="0B57F868" w14:textId="088CB3B7" w:rsidR="001271B9" w:rsidRPr="001271B9" w:rsidRDefault="001271B9">
            <w:pPr>
              <w:tabs>
                <w:tab w:val="decimal" w:pos="1135"/>
              </w:tabs>
              <w:rPr>
                <w:rFonts w:ascii="Times New Roman" w:hAnsi="Times New Roman" w:cs="Times New Roman"/>
                <w:b/>
                <w:bCs/>
              </w:rPr>
            </w:pPr>
            <w:r w:rsidRPr="001271B9">
              <w:rPr>
                <w:rFonts w:ascii="Times New Roman" w:hAnsi="Times New Roman" w:cs="Times New Roman"/>
              </w:rPr>
              <w:t>67</w:t>
            </w:r>
          </w:p>
        </w:tc>
        <w:tc>
          <w:tcPr>
            <w:tcW w:w="2154" w:type="dxa"/>
            <w:tcBorders>
              <w:top w:val="nil"/>
              <w:left w:val="single" w:sz="4" w:space="0" w:color="auto"/>
              <w:bottom w:val="nil"/>
              <w:right w:val="single" w:sz="4" w:space="0" w:color="auto"/>
            </w:tcBorders>
            <w:hideMark/>
          </w:tcPr>
          <w:p w14:paraId="48E16B86" w14:textId="107CFC80" w:rsidR="001271B9" w:rsidRPr="001271B9" w:rsidRDefault="001271B9">
            <w:pPr>
              <w:tabs>
                <w:tab w:val="decimal" w:pos="1107"/>
              </w:tabs>
              <w:rPr>
                <w:rFonts w:ascii="Times New Roman" w:hAnsi="Times New Roman" w:cs="Times New Roman"/>
                <w:b/>
                <w:bCs/>
              </w:rPr>
            </w:pPr>
            <w:r w:rsidRPr="001271B9">
              <w:rPr>
                <w:rFonts w:ascii="Times New Roman" w:hAnsi="Times New Roman" w:cs="Times New Roman"/>
              </w:rPr>
              <w:t>60</w:t>
            </w:r>
          </w:p>
        </w:tc>
        <w:tc>
          <w:tcPr>
            <w:tcW w:w="2154" w:type="dxa"/>
            <w:tcBorders>
              <w:top w:val="nil"/>
              <w:left w:val="single" w:sz="4" w:space="0" w:color="auto"/>
              <w:bottom w:val="nil"/>
              <w:right w:val="single" w:sz="4" w:space="0" w:color="auto"/>
            </w:tcBorders>
            <w:hideMark/>
          </w:tcPr>
          <w:p w14:paraId="0AE6C0EF" w14:textId="6C554D42" w:rsidR="001271B9" w:rsidRPr="001271B9" w:rsidRDefault="001271B9">
            <w:pPr>
              <w:tabs>
                <w:tab w:val="decimal" w:pos="1221"/>
              </w:tabs>
              <w:rPr>
                <w:rFonts w:ascii="Times New Roman" w:hAnsi="Times New Roman" w:cs="Times New Roman"/>
                <w:b/>
                <w:bCs/>
              </w:rPr>
            </w:pPr>
            <w:r w:rsidRPr="001271B9">
              <w:rPr>
                <w:rFonts w:ascii="Times New Roman" w:hAnsi="Times New Roman" w:cs="Times New Roman"/>
              </w:rPr>
              <w:t>119</w:t>
            </w:r>
          </w:p>
        </w:tc>
      </w:tr>
      <w:tr w:rsidR="001271B9" w:rsidRPr="00B824AA" w14:paraId="3FD4106F" w14:textId="77777777" w:rsidTr="00866620">
        <w:tc>
          <w:tcPr>
            <w:tcW w:w="2551" w:type="dxa"/>
            <w:tcBorders>
              <w:top w:val="nil"/>
              <w:left w:val="single" w:sz="4" w:space="0" w:color="auto"/>
              <w:bottom w:val="nil"/>
              <w:right w:val="single" w:sz="4" w:space="0" w:color="auto"/>
            </w:tcBorders>
            <w:vAlign w:val="center"/>
            <w:hideMark/>
          </w:tcPr>
          <w:p w14:paraId="5BCC9DAB" w14:textId="77777777" w:rsidR="001271B9" w:rsidRPr="00B824AA" w:rsidRDefault="001271B9">
            <w:pPr>
              <w:ind w:left="316"/>
              <w:rPr>
                <w:rFonts w:ascii="Times New Roman" w:hAnsi="Times New Roman" w:cs="Times New Roman"/>
                <w:b/>
                <w:bCs/>
              </w:rPr>
            </w:pPr>
            <w:r w:rsidRPr="00B824AA">
              <w:rPr>
                <w:rFonts w:ascii="Times New Roman" w:hAnsi="Times New Roman" w:cs="Times New Roman"/>
                <w:b/>
                <w:bCs/>
                <w:color w:val="000000"/>
              </w:rPr>
              <w:t>2020</w:t>
            </w:r>
          </w:p>
        </w:tc>
        <w:tc>
          <w:tcPr>
            <w:tcW w:w="2154" w:type="dxa"/>
            <w:tcBorders>
              <w:top w:val="nil"/>
              <w:left w:val="single" w:sz="4" w:space="0" w:color="auto"/>
              <w:bottom w:val="nil"/>
              <w:right w:val="single" w:sz="4" w:space="0" w:color="auto"/>
            </w:tcBorders>
            <w:hideMark/>
          </w:tcPr>
          <w:p w14:paraId="53C98522" w14:textId="52B32F08" w:rsidR="001271B9" w:rsidRPr="001271B9" w:rsidRDefault="001271B9">
            <w:pPr>
              <w:tabs>
                <w:tab w:val="decimal" w:pos="1135"/>
              </w:tabs>
              <w:rPr>
                <w:rFonts w:ascii="Times New Roman" w:hAnsi="Times New Roman" w:cs="Times New Roman"/>
                <w:b/>
                <w:bCs/>
              </w:rPr>
            </w:pPr>
            <w:r w:rsidRPr="001271B9">
              <w:rPr>
                <w:rFonts w:ascii="Times New Roman" w:hAnsi="Times New Roman" w:cs="Times New Roman"/>
              </w:rPr>
              <w:t>115</w:t>
            </w:r>
          </w:p>
        </w:tc>
        <w:tc>
          <w:tcPr>
            <w:tcW w:w="2154" w:type="dxa"/>
            <w:tcBorders>
              <w:top w:val="nil"/>
              <w:left w:val="single" w:sz="4" w:space="0" w:color="auto"/>
              <w:bottom w:val="nil"/>
              <w:right w:val="single" w:sz="4" w:space="0" w:color="auto"/>
            </w:tcBorders>
            <w:hideMark/>
          </w:tcPr>
          <w:p w14:paraId="75054549" w14:textId="4E5A94F7" w:rsidR="001271B9" w:rsidRPr="001271B9" w:rsidRDefault="001271B9">
            <w:pPr>
              <w:tabs>
                <w:tab w:val="decimal" w:pos="1107"/>
              </w:tabs>
              <w:rPr>
                <w:rFonts w:ascii="Times New Roman" w:hAnsi="Times New Roman" w:cs="Times New Roman"/>
                <w:b/>
                <w:bCs/>
              </w:rPr>
            </w:pPr>
            <w:r w:rsidRPr="001271B9">
              <w:rPr>
                <w:rFonts w:ascii="Times New Roman" w:hAnsi="Times New Roman" w:cs="Times New Roman"/>
              </w:rPr>
              <w:t>112</w:t>
            </w:r>
          </w:p>
        </w:tc>
        <w:tc>
          <w:tcPr>
            <w:tcW w:w="2154" w:type="dxa"/>
            <w:tcBorders>
              <w:top w:val="nil"/>
              <w:left w:val="single" w:sz="4" w:space="0" w:color="auto"/>
              <w:bottom w:val="nil"/>
              <w:right w:val="single" w:sz="4" w:space="0" w:color="auto"/>
            </w:tcBorders>
            <w:hideMark/>
          </w:tcPr>
          <w:p w14:paraId="663FFCD9" w14:textId="31F1E0EA" w:rsidR="001271B9" w:rsidRPr="001271B9" w:rsidRDefault="001271B9">
            <w:pPr>
              <w:tabs>
                <w:tab w:val="decimal" w:pos="1221"/>
              </w:tabs>
              <w:rPr>
                <w:rFonts w:ascii="Times New Roman" w:hAnsi="Times New Roman" w:cs="Times New Roman"/>
                <w:b/>
                <w:bCs/>
              </w:rPr>
            </w:pPr>
            <w:r w:rsidRPr="001271B9">
              <w:rPr>
                <w:rFonts w:ascii="Times New Roman" w:hAnsi="Times New Roman" w:cs="Times New Roman"/>
              </w:rPr>
              <w:t>131</w:t>
            </w:r>
          </w:p>
        </w:tc>
      </w:tr>
      <w:tr w:rsidR="001271B9" w:rsidRPr="00B824AA" w14:paraId="4B1E3F16" w14:textId="77777777" w:rsidTr="00866620">
        <w:tc>
          <w:tcPr>
            <w:tcW w:w="2551" w:type="dxa"/>
            <w:tcBorders>
              <w:top w:val="nil"/>
              <w:left w:val="single" w:sz="4" w:space="0" w:color="auto"/>
              <w:bottom w:val="nil"/>
              <w:right w:val="single" w:sz="4" w:space="0" w:color="auto"/>
            </w:tcBorders>
            <w:vAlign w:val="center"/>
            <w:hideMark/>
          </w:tcPr>
          <w:p w14:paraId="458758FA" w14:textId="52C46EE9" w:rsidR="001271B9" w:rsidRPr="00B824AA" w:rsidRDefault="001271B9" w:rsidP="00776085">
            <w:pPr>
              <w:ind w:left="316"/>
              <w:rPr>
                <w:rFonts w:ascii="Times New Roman" w:hAnsi="Times New Roman" w:cs="Times New Roman"/>
                <w:b/>
                <w:bCs/>
                <w:color w:val="000000"/>
              </w:rPr>
            </w:pPr>
            <w:r w:rsidRPr="00B824AA">
              <w:rPr>
                <w:rFonts w:ascii="Times New Roman" w:hAnsi="Times New Roman" w:cs="Times New Roman"/>
                <w:b/>
                <w:bCs/>
                <w:color w:val="000000"/>
              </w:rPr>
              <w:t>2021</w:t>
            </w:r>
          </w:p>
        </w:tc>
        <w:tc>
          <w:tcPr>
            <w:tcW w:w="2154" w:type="dxa"/>
            <w:tcBorders>
              <w:top w:val="nil"/>
              <w:left w:val="single" w:sz="4" w:space="0" w:color="auto"/>
              <w:bottom w:val="nil"/>
              <w:right w:val="single" w:sz="4" w:space="0" w:color="auto"/>
            </w:tcBorders>
            <w:hideMark/>
          </w:tcPr>
          <w:p w14:paraId="746D42D0" w14:textId="7D6FC87B" w:rsidR="001271B9" w:rsidRPr="001271B9" w:rsidRDefault="001271B9">
            <w:pPr>
              <w:tabs>
                <w:tab w:val="decimal" w:pos="1135"/>
              </w:tabs>
              <w:rPr>
                <w:rFonts w:ascii="Times New Roman" w:hAnsi="Times New Roman" w:cs="Times New Roman"/>
                <w:b/>
                <w:bCs/>
                <w:color w:val="000000"/>
              </w:rPr>
            </w:pPr>
            <w:r w:rsidRPr="001271B9">
              <w:rPr>
                <w:rFonts w:ascii="Times New Roman" w:hAnsi="Times New Roman" w:cs="Times New Roman"/>
              </w:rPr>
              <w:t>103</w:t>
            </w:r>
          </w:p>
        </w:tc>
        <w:tc>
          <w:tcPr>
            <w:tcW w:w="2154" w:type="dxa"/>
            <w:tcBorders>
              <w:top w:val="nil"/>
              <w:left w:val="single" w:sz="4" w:space="0" w:color="auto"/>
              <w:bottom w:val="nil"/>
              <w:right w:val="single" w:sz="4" w:space="0" w:color="auto"/>
            </w:tcBorders>
            <w:hideMark/>
          </w:tcPr>
          <w:p w14:paraId="1EA91728" w14:textId="5A70FE9C" w:rsidR="001271B9" w:rsidRPr="001271B9" w:rsidRDefault="001271B9">
            <w:pPr>
              <w:tabs>
                <w:tab w:val="decimal" w:pos="1107"/>
              </w:tabs>
              <w:rPr>
                <w:rFonts w:ascii="Times New Roman" w:hAnsi="Times New Roman" w:cs="Times New Roman"/>
                <w:b/>
                <w:bCs/>
                <w:color w:val="000000"/>
              </w:rPr>
            </w:pPr>
            <w:r w:rsidRPr="001271B9">
              <w:rPr>
                <w:rFonts w:ascii="Times New Roman" w:hAnsi="Times New Roman" w:cs="Times New Roman"/>
              </w:rPr>
              <w:t>99</w:t>
            </w:r>
          </w:p>
        </w:tc>
        <w:tc>
          <w:tcPr>
            <w:tcW w:w="2154" w:type="dxa"/>
            <w:tcBorders>
              <w:top w:val="nil"/>
              <w:left w:val="single" w:sz="4" w:space="0" w:color="auto"/>
              <w:bottom w:val="nil"/>
              <w:right w:val="single" w:sz="4" w:space="0" w:color="auto"/>
            </w:tcBorders>
            <w:hideMark/>
          </w:tcPr>
          <w:p w14:paraId="57EA1B18" w14:textId="4C19A59C" w:rsidR="001271B9" w:rsidRPr="001271B9" w:rsidRDefault="001271B9">
            <w:pPr>
              <w:tabs>
                <w:tab w:val="decimal" w:pos="1221"/>
              </w:tabs>
              <w:rPr>
                <w:rFonts w:ascii="Times New Roman" w:hAnsi="Times New Roman" w:cs="Times New Roman"/>
                <w:b/>
                <w:bCs/>
                <w:color w:val="000000"/>
              </w:rPr>
            </w:pPr>
            <w:r w:rsidRPr="001271B9">
              <w:rPr>
                <w:rFonts w:ascii="Times New Roman" w:hAnsi="Times New Roman" w:cs="Times New Roman"/>
              </w:rPr>
              <w:t>124</w:t>
            </w:r>
          </w:p>
        </w:tc>
      </w:tr>
      <w:tr w:rsidR="001271B9" w:rsidRPr="00B824AA" w14:paraId="3E1D930F" w14:textId="77777777" w:rsidTr="00866620">
        <w:tc>
          <w:tcPr>
            <w:tcW w:w="2551" w:type="dxa"/>
            <w:tcBorders>
              <w:top w:val="nil"/>
              <w:left w:val="single" w:sz="4" w:space="0" w:color="auto"/>
              <w:bottom w:val="nil"/>
              <w:right w:val="single" w:sz="4" w:space="0" w:color="auto"/>
            </w:tcBorders>
            <w:vAlign w:val="center"/>
          </w:tcPr>
          <w:p w14:paraId="3C1353A6" w14:textId="0F9F69E3" w:rsidR="001271B9" w:rsidRPr="00B824AA" w:rsidRDefault="001271B9" w:rsidP="00776085">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left w:val="single" w:sz="4" w:space="0" w:color="auto"/>
              <w:bottom w:val="nil"/>
              <w:right w:val="single" w:sz="4" w:space="0" w:color="auto"/>
            </w:tcBorders>
          </w:tcPr>
          <w:p w14:paraId="4C7CCD10" w14:textId="0EF32E23" w:rsidR="001271B9" w:rsidRPr="001271B9" w:rsidRDefault="001271B9">
            <w:pPr>
              <w:tabs>
                <w:tab w:val="decimal" w:pos="1135"/>
              </w:tabs>
              <w:rPr>
                <w:rFonts w:ascii="Times New Roman" w:hAnsi="Times New Roman" w:cs="Times New Roman"/>
                <w:b/>
                <w:bCs/>
                <w:color w:val="000000"/>
              </w:rPr>
            </w:pPr>
            <w:r w:rsidRPr="001271B9">
              <w:rPr>
                <w:rFonts w:ascii="Times New Roman" w:hAnsi="Times New Roman" w:cs="Times New Roman"/>
              </w:rPr>
              <w:t>115</w:t>
            </w:r>
          </w:p>
        </w:tc>
        <w:tc>
          <w:tcPr>
            <w:tcW w:w="2154" w:type="dxa"/>
            <w:tcBorders>
              <w:top w:val="nil"/>
              <w:left w:val="single" w:sz="4" w:space="0" w:color="auto"/>
              <w:bottom w:val="nil"/>
              <w:right w:val="single" w:sz="4" w:space="0" w:color="auto"/>
            </w:tcBorders>
          </w:tcPr>
          <w:p w14:paraId="6AD3BCC5" w14:textId="223DADBD" w:rsidR="001271B9" w:rsidRPr="001271B9" w:rsidRDefault="001271B9">
            <w:pPr>
              <w:tabs>
                <w:tab w:val="decimal" w:pos="1107"/>
              </w:tabs>
              <w:rPr>
                <w:rFonts w:ascii="Times New Roman" w:hAnsi="Times New Roman" w:cs="Times New Roman"/>
                <w:b/>
                <w:bCs/>
                <w:color w:val="000000"/>
              </w:rPr>
            </w:pPr>
            <w:r w:rsidRPr="001271B9">
              <w:rPr>
                <w:rFonts w:ascii="Times New Roman" w:hAnsi="Times New Roman" w:cs="Times New Roman"/>
              </w:rPr>
              <w:t>113</w:t>
            </w:r>
          </w:p>
        </w:tc>
        <w:tc>
          <w:tcPr>
            <w:tcW w:w="2154" w:type="dxa"/>
            <w:tcBorders>
              <w:top w:val="nil"/>
              <w:left w:val="single" w:sz="4" w:space="0" w:color="auto"/>
              <w:bottom w:val="nil"/>
              <w:right w:val="single" w:sz="4" w:space="0" w:color="auto"/>
            </w:tcBorders>
          </w:tcPr>
          <w:p w14:paraId="57FDC93A" w14:textId="333EE7E7" w:rsidR="001271B9" w:rsidRPr="001271B9" w:rsidRDefault="001271B9">
            <w:pPr>
              <w:tabs>
                <w:tab w:val="decimal" w:pos="1221"/>
              </w:tabs>
              <w:rPr>
                <w:rFonts w:ascii="Times New Roman" w:hAnsi="Times New Roman" w:cs="Times New Roman"/>
                <w:b/>
                <w:bCs/>
                <w:color w:val="000000"/>
              </w:rPr>
            </w:pPr>
            <w:r w:rsidRPr="001271B9">
              <w:rPr>
                <w:rFonts w:ascii="Times New Roman" w:hAnsi="Times New Roman" w:cs="Times New Roman"/>
              </w:rPr>
              <w:t>128</w:t>
            </w:r>
          </w:p>
        </w:tc>
      </w:tr>
      <w:tr w:rsidR="00CB7564" w:rsidRPr="00B824AA" w14:paraId="29870A7B" w14:textId="77777777" w:rsidTr="00CB7564">
        <w:tc>
          <w:tcPr>
            <w:tcW w:w="2551" w:type="dxa"/>
            <w:tcBorders>
              <w:top w:val="nil"/>
              <w:left w:val="single" w:sz="4" w:space="0" w:color="auto"/>
              <w:bottom w:val="nil"/>
              <w:right w:val="single" w:sz="4" w:space="0" w:color="auto"/>
            </w:tcBorders>
            <w:vAlign w:val="center"/>
            <w:hideMark/>
          </w:tcPr>
          <w:p w14:paraId="29BC4DC9" w14:textId="77777777" w:rsidR="00776085" w:rsidRPr="00B824AA" w:rsidRDefault="00776085">
            <w:pPr>
              <w:ind w:left="316"/>
              <w:rPr>
                <w:rFonts w:ascii="Times New Roman" w:hAnsi="Times New Roman" w:cs="Times New Roman"/>
                <w:color w:val="000000"/>
              </w:rPr>
            </w:pPr>
          </w:p>
          <w:p w14:paraId="626700E3" w14:textId="27232DE4" w:rsidR="00CB7564" w:rsidRPr="00B824AA" w:rsidRDefault="00CB7564">
            <w:pPr>
              <w:ind w:left="316"/>
              <w:rPr>
                <w:rFonts w:ascii="Times New Roman" w:hAnsi="Times New Roman" w:cs="Times New Roman"/>
              </w:rPr>
            </w:pPr>
            <w:r w:rsidRPr="00B824AA">
              <w:rPr>
                <w:rFonts w:ascii="Times New Roman" w:hAnsi="Times New Roman" w:cs="Times New Roman"/>
                <w:color w:val="000000"/>
              </w:rPr>
              <w:t>doch</w:t>
            </w:r>
            <w:r w:rsidR="00E45E2D" w:rsidRPr="00B824AA">
              <w:rPr>
                <w:rFonts w:ascii="Times New Roman" w:hAnsi="Times New Roman" w:cs="Times New Roman"/>
                <w:color w:val="000000"/>
              </w:rPr>
              <w:t>ody</w:t>
            </w:r>
          </w:p>
        </w:tc>
        <w:tc>
          <w:tcPr>
            <w:tcW w:w="2154" w:type="dxa"/>
            <w:tcBorders>
              <w:top w:val="nil"/>
              <w:left w:val="single" w:sz="4" w:space="0" w:color="auto"/>
              <w:bottom w:val="nil"/>
              <w:right w:val="single" w:sz="4" w:space="0" w:color="auto"/>
            </w:tcBorders>
            <w:vAlign w:val="bottom"/>
          </w:tcPr>
          <w:p w14:paraId="2499F2C3" w14:textId="77777777" w:rsidR="00CB7564" w:rsidRPr="00B824AA" w:rsidRDefault="00CB7564">
            <w:pPr>
              <w:tabs>
                <w:tab w:val="decimal" w:pos="1135"/>
              </w:tabs>
              <w:rPr>
                <w:rFonts w:ascii="Times New Roman" w:hAnsi="Times New Roman" w:cs="Times New Roman"/>
              </w:rPr>
            </w:pPr>
          </w:p>
        </w:tc>
        <w:tc>
          <w:tcPr>
            <w:tcW w:w="2154" w:type="dxa"/>
            <w:tcBorders>
              <w:top w:val="nil"/>
              <w:left w:val="single" w:sz="4" w:space="0" w:color="auto"/>
              <w:bottom w:val="nil"/>
              <w:right w:val="single" w:sz="4" w:space="0" w:color="auto"/>
            </w:tcBorders>
            <w:vAlign w:val="bottom"/>
          </w:tcPr>
          <w:p w14:paraId="4102E4B4" w14:textId="77777777" w:rsidR="00CB7564" w:rsidRPr="00B824AA" w:rsidRDefault="00CB7564">
            <w:pPr>
              <w:tabs>
                <w:tab w:val="decimal" w:pos="1107"/>
              </w:tabs>
              <w:rPr>
                <w:rFonts w:ascii="Times New Roman" w:hAnsi="Times New Roman" w:cs="Times New Roman"/>
              </w:rPr>
            </w:pPr>
          </w:p>
        </w:tc>
        <w:tc>
          <w:tcPr>
            <w:tcW w:w="2154" w:type="dxa"/>
            <w:tcBorders>
              <w:top w:val="nil"/>
              <w:left w:val="single" w:sz="4" w:space="0" w:color="auto"/>
              <w:bottom w:val="nil"/>
              <w:right w:val="single" w:sz="4" w:space="0" w:color="auto"/>
            </w:tcBorders>
            <w:vAlign w:val="bottom"/>
          </w:tcPr>
          <w:p w14:paraId="270C9A45" w14:textId="77777777" w:rsidR="00CB7564" w:rsidRPr="00B824AA" w:rsidRDefault="00CB7564">
            <w:pPr>
              <w:tabs>
                <w:tab w:val="decimal" w:pos="1221"/>
              </w:tabs>
              <w:rPr>
                <w:rFonts w:ascii="Times New Roman" w:hAnsi="Times New Roman" w:cs="Times New Roman"/>
              </w:rPr>
            </w:pPr>
          </w:p>
        </w:tc>
      </w:tr>
      <w:tr w:rsidR="001271B9" w:rsidRPr="00B824AA" w14:paraId="7C907248" w14:textId="77777777" w:rsidTr="00866620">
        <w:tc>
          <w:tcPr>
            <w:tcW w:w="2551" w:type="dxa"/>
            <w:tcBorders>
              <w:top w:val="nil"/>
              <w:left w:val="single" w:sz="4" w:space="0" w:color="auto"/>
              <w:bottom w:val="nil"/>
              <w:right w:val="single" w:sz="4" w:space="0" w:color="auto"/>
            </w:tcBorders>
            <w:vAlign w:val="center"/>
            <w:hideMark/>
          </w:tcPr>
          <w:p w14:paraId="3CA9DA1D" w14:textId="77777777" w:rsidR="001271B9" w:rsidRPr="00B824AA" w:rsidRDefault="001271B9">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hideMark/>
          </w:tcPr>
          <w:p w14:paraId="5B2164AC" w14:textId="2DBD1710" w:rsidR="001271B9" w:rsidRPr="002F42B4" w:rsidRDefault="001271B9">
            <w:pPr>
              <w:tabs>
                <w:tab w:val="decimal" w:pos="1135"/>
              </w:tabs>
              <w:rPr>
                <w:rFonts w:ascii="Times New Roman" w:hAnsi="Times New Roman" w:cs="Times New Roman"/>
              </w:rPr>
            </w:pPr>
            <w:r w:rsidRPr="002F42B4">
              <w:rPr>
                <w:rFonts w:ascii="Times New Roman" w:hAnsi="Times New Roman" w:cs="Times New Roman"/>
              </w:rPr>
              <w:t>52</w:t>
            </w:r>
          </w:p>
        </w:tc>
        <w:tc>
          <w:tcPr>
            <w:tcW w:w="2154" w:type="dxa"/>
            <w:tcBorders>
              <w:top w:val="nil"/>
              <w:left w:val="single" w:sz="4" w:space="0" w:color="auto"/>
              <w:bottom w:val="nil"/>
              <w:right w:val="single" w:sz="4" w:space="0" w:color="auto"/>
            </w:tcBorders>
            <w:hideMark/>
          </w:tcPr>
          <w:p w14:paraId="2B200808" w14:textId="5BE113DA" w:rsidR="001271B9" w:rsidRPr="002F42B4" w:rsidRDefault="001271B9">
            <w:pPr>
              <w:tabs>
                <w:tab w:val="decimal" w:pos="1107"/>
              </w:tabs>
              <w:rPr>
                <w:rFonts w:ascii="Times New Roman" w:hAnsi="Times New Roman" w:cs="Times New Roman"/>
              </w:rPr>
            </w:pPr>
            <w:r w:rsidRPr="002F42B4">
              <w:rPr>
                <w:rFonts w:ascii="Times New Roman" w:hAnsi="Times New Roman" w:cs="Times New Roman"/>
              </w:rPr>
              <w:t>46</w:t>
            </w:r>
          </w:p>
        </w:tc>
        <w:tc>
          <w:tcPr>
            <w:tcW w:w="2154" w:type="dxa"/>
            <w:tcBorders>
              <w:top w:val="nil"/>
              <w:left w:val="single" w:sz="4" w:space="0" w:color="auto"/>
              <w:bottom w:val="nil"/>
              <w:right w:val="single" w:sz="4" w:space="0" w:color="auto"/>
            </w:tcBorders>
            <w:hideMark/>
          </w:tcPr>
          <w:p w14:paraId="06E0E3D1" w14:textId="3AC927C6" w:rsidR="001271B9" w:rsidRPr="002F42B4" w:rsidRDefault="001271B9">
            <w:pPr>
              <w:tabs>
                <w:tab w:val="decimal" w:pos="1221"/>
              </w:tabs>
              <w:rPr>
                <w:rFonts w:ascii="Times New Roman" w:hAnsi="Times New Roman" w:cs="Times New Roman"/>
              </w:rPr>
            </w:pPr>
            <w:r w:rsidRPr="002F42B4">
              <w:rPr>
                <w:rFonts w:ascii="Times New Roman" w:hAnsi="Times New Roman" w:cs="Times New Roman"/>
              </w:rPr>
              <w:t>108</w:t>
            </w:r>
          </w:p>
        </w:tc>
      </w:tr>
      <w:tr w:rsidR="001271B9" w:rsidRPr="00B824AA" w14:paraId="54E18BEF" w14:textId="77777777" w:rsidTr="00866620">
        <w:tc>
          <w:tcPr>
            <w:tcW w:w="2551" w:type="dxa"/>
            <w:tcBorders>
              <w:top w:val="nil"/>
              <w:left w:val="single" w:sz="4" w:space="0" w:color="auto"/>
              <w:bottom w:val="nil"/>
              <w:right w:val="single" w:sz="4" w:space="0" w:color="auto"/>
            </w:tcBorders>
            <w:vAlign w:val="center"/>
            <w:hideMark/>
          </w:tcPr>
          <w:p w14:paraId="4C7D3E8C" w14:textId="77777777" w:rsidR="001271B9" w:rsidRPr="00B824AA" w:rsidRDefault="001271B9">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hideMark/>
          </w:tcPr>
          <w:p w14:paraId="7BD56D94" w14:textId="0CA7E0A5" w:rsidR="001271B9" w:rsidRPr="002F42B4" w:rsidRDefault="001271B9">
            <w:pPr>
              <w:tabs>
                <w:tab w:val="decimal" w:pos="1135"/>
              </w:tabs>
              <w:rPr>
                <w:rFonts w:ascii="Times New Roman" w:hAnsi="Times New Roman" w:cs="Times New Roman"/>
              </w:rPr>
            </w:pPr>
            <w:r w:rsidRPr="002F42B4">
              <w:rPr>
                <w:rFonts w:ascii="Times New Roman" w:hAnsi="Times New Roman" w:cs="Times New Roman"/>
              </w:rPr>
              <w:t>62</w:t>
            </w:r>
          </w:p>
        </w:tc>
        <w:tc>
          <w:tcPr>
            <w:tcW w:w="2154" w:type="dxa"/>
            <w:tcBorders>
              <w:top w:val="nil"/>
              <w:left w:val="single" w:sz="4" w:space="0" w:color="auto"/>
              <w:bottom w:val="nil"/>
              <w:right w:val="single" w:sz="4" w:space="0" w:color="auto"/>
            </w:tcBorders>
            <w:hideMark/>
          </w:tcPr>
          <w:p w14:paraId="45D9B61C" w14:textId="090091CB" w:rsidR="001271B9" w:rsidRPr="002F42B4" w:rsidRDefault="001271B9">
            <w:pPr>
              <w:tabs>
                <w:tab w:val="decimal" w:pos="1107"/>
              </w:tabs>
              <w:rPr>
                <w:rFonts w:ascii="Times New Roman" w:hAnsi="Times New Roman" w:cs="Times New Roman"/>
              </w:rPr>
            </w:pPr>
            <w:r w:rsidRPr="002F42B4">
              <w:rPr>
                <w:rFonts w:ascii="Times New Roman" w:hAnsi="Times New Roman" w:cs="Times New Roman"/>
              </w:rPr>
              <w:t>55</w:t>
            </w:r>
          </w:p>
        </w:tc>
        <w:tc>
          <w:tcPr>
            <w:tcW w:w="2154" w:type="dxa"/>
            <w:tcBorders>
              <w:top w:val="nil"/>
              <w:left w:val="single" w:sz="4" w:space="0" w:color="auto"/>
              <w:bottom w:val="nil"/>
              <w:right w:val="single" w:sz="4" w:space="0" w:color="auto"/>
            </w:tcBorders>
            <w:hideMark/>
          </w:tcPr>
          <w:p w14:paraId="4C2C2703" w14:textId="0B909B9E" w:rsidR="001271B9" w:rsidRPr="002F42B4" w:rsidRDefault="001271B9">
            <w:pPr>
              <w:tabs>
                <w:tab w:val="decimal" w:pos="1221"/>
              </w:tabs>
              <w:rPr>
                <w:rFonts w:ascii="Times New Roman" w:hAnsi="Times New Roman" w:cs="Times New Roman"/>
              </w:rPr>
            </w:pPr>
            <w:r w:rsidRPr="002F42B4">
              <w:rPr>
                <w:rFonts w:ascii="Times New Roman" w:hAnsi="Times New Roman" w:cs="Times New Roman"/>
              </w:rPr>
              <w:t>114</w:t>
            </w:r>
          </w:p>
        </w:tc>
      </w:tr>
      <w:tr w:rsidR="001271B9" w:rsidRPr="00B824AA" w14:paraId="7A968C5B" w14:textId="77777777" w:rsidTr="00866620">
        <w:tc>
          <w:tcPr>
            <w:tcW w:w="2551" w:type="dxa"/>
            <w:tcBorders>
              <w:top w:val="nil"/>
              <w:left w:val="single" w:sz="4" w:space="0" w:color="auto"/>
              <w:bottom w:val="nil"/>
              <w:right w:val="single" w:sz="4" w:space="0" w:color="auto"/>
            </w:tcBorders>
            <w:vAlign w:val="center"/>
            <w:hideMark/>
          </w:tcPr>
          <w:p w14:paraId="6BC2349A" w14:textId="77777777" w:rsidR="001271B9" w:rsidRPr="00B824AA" w:rsidRDefault="001271B9">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hideMark/>
          </w:tcPr>
          <w:p w14:paraId="1468DD8D" w14:textId="57C0CB84" w:rsidR="001271B9" w:rsidRPr="002F42B4" w:rsidRDefault="001271B9">
            <w:pPr>
              <w:tabs>
                <w:tab w:val="decimal" w:pos="1135"/>
              </w:tabs>
              <w:rPr>
                <w:rFonts w:ascii="Times New Roman" w:hAnsi="Times New Roman" w:cs="Times New Roman"/>
              </w:rPr>
            </w:pPr>
            <w:r w:rsidRPr="002F42B4">
              <w:rPr>
                <w:rFonts w:ascii="Times New Roman" w:hAnsi="Times New Roman" w:cs="Times New Roman"/>
              </w:rPr>
              <w:t>76</w:t>
            </w:r>
          </w:p>
        </w:tc>
        <w:tc>
          <w:tcPr>
            <w:tcW w:w="2154" w:type="dxa"/>
            <w:tcBorders>
              <w:top w:val="nil"/>
              <w:left w:val="single" w:sz="4" w:space="0" w:color="auto"/>
              <w:bottom w:val="nil"/>
              <w:right w:val="single" w:sz="4" w:space="0" w:color="auto"/>
            </w:tcBorders>
            <w:hideMark/>
          </w:tcPr>
          <w:p w14:paraId="16082964" w14:textId="7E21A950" w:rsidR="001271B9" w:rsidRPr="002F42B4" w:rsidRDefault="001271B9">
            <w:pPr>
              <w:tabs>
                <w:tab w:val="decimal" w:pos="1107"/>
              </w:tabs>
              <w:rPr>
                <w:rFonts w:ascii="Times New Roman" w:hAnsi="Times New Roman" w:cs="Times New Roman"/>
              </w:rPr>
            </w:pPr>
            <w:r w:rsidRPr="002F42B4">
              <w:rPr>
                <w:rFonts w:ascii="Times New Roman" w:hAnsi="Times New Roman" w:cs="Times New Roman"/>
              </w:rPr>
              <w:t>69</w:t>
            </w:r>
          </w:p>
        </w:tc>
        <w:tc>
          <w:tcPr>
            <w:tcW w:w="2154" w:type="dxa"/>
            <w:tcBorders>
              <w:top w:val="nil"/>
              <w:left w:val="single" w:sz="4" w:space="0" w:color="auto"/>
              <w:bottom w:val="nil"/>
              <w:right w:val="single" w:sz="4" w:space="0" w:color="auto"/>
            </w:tcBorders>
            <w:hideMark/>
          </w:tcPr>
          <w:p w14:paraId="52289986" w14:textId="212DE4FD" w:rsidR="001271B9" w:rsidRPr="002F42B4" w:rsidRDefault="001271B9">
            <w:pPr>
              <w:tabs>
                <w:tab w:val="decimal" w:pos="1221"/>
              </w:tabs>
              <w:rPr>
                <w:rFonts w:ascii="Times New Roman" w:hAnsi="Times New Roman" w:cs="Times New Roman"/>
              </w:rPr>
            </w:pPr>
            <w:r w:rsidRPr="002F42B4">
              <w:rPr>
                <w:rFonts w:ascii="Times New Roman" w:hAnsi="Times New Roman" w:cs="Times New Roman"/>
              </w:rPr>
              <w:t>115</w:t>
            </w:r>
          </w:p>
        </w:tc>
      </w:tr>
      <w:tr w:rsidR="001271B9" w:rsidRPr="00B824AA" w14:paraId="5A18A422" w14:textId="77777777" w:rsidTr="00866620">
        <w:tc>
          <w:tcPr>
            <w:tcW w:w="2551" w:type="dxa"/>
            <w:tcBorders>
              <w:top w:val="nil"/>
              <w:left w:val="single" w:sz="4" w:space="0" w:color="auto"/>
              <w:bottom w:val="nil"/>
              <w:right w:val="single" w:sz="4" w:space="0" w:color="auto"/>
            </w:tcBorders>
            <w:vAlign w:val="center"/>
            <w:hideMark/>
          </w:tcPr>
          <w:p w14:paraId="7C9387B9" w14:textId="77777777" w:rsidR="001271B9" w:rsidRPr="00B824AA" w:rsidRDefault="001271B9">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hideMark/>
          </w:tcPr>
          <w:p w14:paraId="42CAD066" w14:textId="0BA9E34F" w:rsidR="001271B9" w:rsidRPr="002F42B4" w:rsidRDefault="001271B9">
            <w:pPr>
              <w:tabs>
                <w:tab w:val="decimal" w:pos="1135"/>
              </w:tabs>
              <w:rPr>
                <w:rFonts w:ascii="Times New Roman" w:hAnsi="Times New Roman" w:cs="Times New Roman"/>
                <w:color w:val="000000"/>
              </w:rPr>
            </w:pPr>
            <w:r w:rsidRPr="002F42B4">
              <w:rPr>
                <w:rFonts w:ascii="Times New Roman" w:hAnsi="Times New Roman" w:cs="Times New Roman"/>
              </w:rPr>
              <w:t>76</w:t>
            </w:r>
          </w:p>
        </w:tc>
        <w:tc>
          <w:tcPr>
            <w:tcW w:w="2154" w:type="dxa"/>
            <w:tcBorders>
              <w:top w:val="nil"/>
              <w:left w:val="single" w:sz="4" w:space="0" w:color="auto"/>
              <w:bottom w:val="nil"/>
              <w:right w:val="single" w:sz="4" w:space="0" w:color="auto"/>
            </w:tcBorders>
            <w:hideMark/>
          </w:tcPr>
          <w:p w14:paraId="79A9AD32" w14:textId="0CDDC5B5" w:rsidR="001271B9" w:rsidRPr="002F42B4" w:rsidRDefault="001271B9">
            <w:pPr>
              <w:tabs>
                <w:tab w:val="decimal" w:pos="1107"/>
              </w:tabs>
              <w:rPr>
                <w:rFonts w:ascii="Times New Roman" w:hAnsi="Times New Roman" w:cs="Times New Roman"/>
                <w:color w:val="000000"/>
              </w:rPr>
            </w:pPr>
            <w:r w:rsidRPr="002F42B4">
              <w:rPr>
                <w:rFonts w:ascii="Times New Roman" w:hAnsi="Times New Roman" w:cs="Times New Roman"/>
              </w:rPr>
              <w:t>69</w:t>
            </w:r>
          </w:p>
        </w:tc>
        <w:tc>
          <w:tcPr>
            <w:tcW w:w="2154" w:type="dxa"/>
            <w:tcBorders>
              <w:top w:val="nil"/>
              <w:left w:val="single" w:sz="4" w:space="0" w:color="auto"/>
              <w:bottom w:val="nil"/>
              <w:right w:val="single" w:sz="4" w:space="0" w:color="auto"/>
            </w:tcBorders>
            <w:hideMark/>
          </w:tcPr>
          <w:p w14:paraId="7D6656B0" w14:textId="3358A71F" w:rsidR="001271B9" w:rsidRPr="002F42B4" w:rsidRDefault="001271B9">
            <w:pPr>
              <w:tabs>
                <w:tab w:val="decimal" w:pos="1221"/>
              </w:tabs>
              <w:rPr>
                <w:rFonts w:ascii="Times New Roman" w:hAnsi="Times New Roman" w:cs="Times New Roman"/>
                <w:color w:val="000000"/>
              </w:rPr>
            </w:pPr>
            <w:r w:rsidRPr="002F42B4">
              <w:rPr>
                <w:rFonts w:ascii="Times New Roman" w:hAnsi="Times New Roman" w:cs="Times New Roman"/>
              </w:rPr>
              <w:t>115</w:t>
            </w:r>
          </w:p>
        </w:tc>
      </w:tr>
      <w:tr w:rsidR="001271B9" w:rsidRPr="00B824AA" w14:paraId="596E66DD" w14:textId="77777777" w:rsidTr="00866620">
        <w:tc>
          <w:tcPr>
            <w:tcW w:w="2551" w:type="dxa"/>
            <w:tcBorders>
              <w:top w:val="nil"/>
              <w:left w:val="single" w:sz="4" w:space="0" w:color="auto"/>
              <w:bottom w:val="nil"/>
              <w:right w:val="single" w:sz="4" w:space="0" w:color="auto"/>
            </w:tcBorders>
            <w:vAlign w:val="center"/>
          </w:tcPr>
          <w:p w14:paraId="6317EC7C" w14:textId="7B6D09B8" w:rsidR="001271B9" w:rsidRPr="00B824AA" w:rsidRDefault="001271B9">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nil"/>
              <w:right w:val="single" w:sz="4" w:space="0" w:color="auto"/>
            </w:tcBorders>
          </w:tcPr>
          <w:p w14:paraId="27D8415E" w14:textId="6B101F9C" w:rsidR="001271B9" w:rsidRPr="002F42B4" w:rsidRDefault="001271B9">
            <w:pPr>
              <w:tabs>
                <w:tab w:val="decimal" w:pos="1135"/>
              </w:tabs>
              <w:rPr>
                <w:rFonts w:ascii="Times New Roman" w:hAnsi="Times New Roman" w:cs="Times New Roman"/>
                <w:color w:val="000000"/>
              </w:rPr>
            </w:pPr>
            <w:r w:rsidRPr="002F42B4">
              <w:rPr>
                <w:rFonts w:ascii="Times New Roman" w:hAnsi="Times New Roman" w:cs="Times New Roman"/>
              </w:rPr>
              <w:t>79</w:t>
            </w:r>
          </w:p>
        </w:tc>
        <w:tc>
          <w:tcPr>
            <w:tcW w:w="2154" w:type="dxa"/>
            <w:tcBorders>
              <w:top w:val="nil"/>
              <w:left w:val="single" w:sz="4" w:space="0" w:color="auto"/>
              <w:bottom w:val="nil"/>
              <w:right w:val="single" w:sz="4" w:space="0" w:color="auto"/>
            </w:tcBorders>
          </w:tcPr>
          <w:p w14:paraId="2E507157" w14:textId="64998B39" w:rsidR="001271B9" w:rsidRPr="002F42B4" w:rsidRDefault="001271B9">
            <w:pPr>
              <w:tabs>
                <w:tab w:val="decimal" w:pos="1107"/>
              </w:tabs>
              <w:rPr>
                <w:rFonts w:ascii="Times New Roman" w:hAnsi="Times New Roman" w:cs="Times New Roman"/>
                <w:color w:val="000000"/>
              </w:rPr>
            </w:pPr>
            <w:r w:rsidRPr="002F42B4">
              <w:rPr>
                <w:rFonts w:ascii="Times New Roman" w:hAnsi="Times New Roman" w:cs="Times New Roman"/>
              </w:rPr>
              <w:t>73</w:t>
            </w:r>
          </w:p>
        </w:tc>
        <w:tc>
          <w:tcPr>
            <w:tcW w:w="2154" w:type="dxa"/>
            <w:tcBorders>
              <w:top w:val="nil"/>
              <w:left w:val="single" w:sz="4" w:space="0" w:color="auto"/>
              <w:bottom w:val="nil"/>
              <w:right w:val="single" w:sz="4" w:space="0" w:color="auto"/>
            </w:tcBorders>
          </w:tcPr>
          <w:p w14:paraId="5F18E74D" w14:textId="717EE498" w:rsidR="001271B9" w:rsidRPr="002F42B4" w:rsidRDefault="001271B9">
            <w:pPr>
              <w:tabs>
                <w:tab w:val="decimal" w:pos="1221"/>
              </w:tabs>
              <w:rPr>
                <w:rFonts w:ascii="Times New Roman" w:hAnsi="Times New Roman" w:cs="Times New Roman"/>
                <w:color w:val="000000"/>
              </w:rPr>
            </w:pPr>
            <w:r w:rsidRPr="002F42B4">
              <w:rPr>
                <w:rFonts w:ascii="Times New Roman" w:hAnsi="Times New Roman" w:cs="Times New Roman"/>
              </w:rPr>
              <w:t>115</w:t>
            </w:r>
          </w:p>
        </w:tc>
      </w:tr>
      <w:tr w:rsidR="00CC3BD8" w:rsidRPr="00B824AA" w14:paraId="332E8E64" w14:textId="77777777" w:rsidTr="00CB7564">
        <w:tc>
          <w:tcPr>
            <w:tcW w:w="2551" w:type="dxa"/>
            <w:tcBorders>
              <w:top w:val="nil"/>
              <w:left w:val="single" w:sz="4" w:space="0" w:color="auto"/>
              <w:bottom w:val="nil"/>
              <w:right w:val="single" w:sz="4" w:space="0" w:color="auto"/>
            </w:tcBorders>
            <w:vAlign w:val="center"/>
          </w:tcPr>
          <w:p w14:paraId="17FB44EA" w14:textId="77777777" w:rsidR="00CC3BD8" w:rsidRPr="00B824AA" w:rsidRDefault="00CC3BD8">
            <w:pPr>
              <w:ind w:left="316"/>
              <w:rPr>
                <w:rFonts w:ascii="Times New Roman" w:hAnsi="Times New Roman" w:cs="Times New Roman"/>
                <w:color w:val="000000"/>
              </w:rPr>
            </w:pPr>
          </w:p>
        </w:tc>
        <w:tc>
          <w:tcPr>
            <w:tcW w:w="2154" w:type="dxa"/>
            <w:tcBorders>
              <w:top w:val="nil"/>
              <w:left w:val="single" w:sz="4" w:space="0" w:color="auto"/>
              <w:bottom w:val="nil"/>
              <w:right w:val="single" w:sz="4" w:space="0" w:color="auto"/>
            </w:tcBorders>
            <w:vAlign w:val="bottom"/>
          </w:tcPr>
          <w:p w14:paraId="1D8F8D51" w14:textId="77777777" w:rsidR="00CC3BD8" w:rsidRPr="00B824AA" w:rsidRDefault="00CC3BD8">
            <w:pPr>
              <w:tabs>
                <w:tab w:val="decimal" w:pos="1135"/>
              </w:tabs>
              <w:rPr>
                <w:rFonts w:ascii="Times New Roman" w:hAnsi="Times New Roman" w:cs="Times New Roman"/>
                <w:color w:val="000000"/>
              </w:rPr>
            </w:pPr>
          </w:p>
        </w:tc>
        <w:tc>
          <w:tcPr>
            <w:tcW w:w="2154" w:type="dxa"/>
            <w:tcBorders>
              <w:top w:val="nil"/>
              <w:left w:val="single" w:sz="4" w:space="0" w:color="auto"/>
              <w:bottom w:val="nil"/>
              <w:right w:val="single" w:sz="4" w:space="0" w:color="auto"/>
            </w:tcBorders>
            <w:vAlign w:val="bottom"/>
          </w:tcPr>
          <w:p w14:paraId="272D1AC5" w14:textId="77777777" w:rsidR="00CC3BD8" w:rsidRPr="00B824AA" w:rsidRDefault="00CC3BD8">
            <w:pPr>
              <w:tabs>
                <w:tab w:val="decimal" w:pos="1107"/>
              </w:tabs>
              <w:rPr>
                <w:rFonts w:ascii="Times New Roman" w:hAnsi="Times New Roman" w:cs="Times New Roman"/>
                <w:color w:val="000000"/>
              </w:rPr>
            </w:pPr>
          </w:p>
        </w:tc>
        <w:tc>
          <w:tcPr>
            <w:tcW w:w="2154" w:type="dxa"/>
            <w:tcBorders>
              <w:top w:val="nil"/>
              <w:left w:val="single" w:sz="4" w:space="0" w:color="auto"/>
              <w:bottom w:val="nil"/>
              <w:right w:val="single" w:sz="4" w:space="0" w:color="auto"/>
            </w:tcBorders>
            <w:vAlign w:val="bottom"/>
          </w:tcPr>
          <w:p w14:paraId="0868AFD7" w14:textId="77777777" w:rsidR="00CC3BD8" w:rsidRPr="00B824AA" w:rsidRDefault="00CC3BD8">
            <w:pPr>
              <w:tabs>
                <w:tab w:val="decimal" w:pos="1221"/>
              </w:tabs>
              <w:rPr>
                <w:rFonts w:ascii="Times New Roman" w:hAnsi="Times New Roman" w:cs="Times New Roman"/>
                <w:color w:val="000000"/>
              </w:rPr>
            </w:pPr>
          </w:p>
        </w:tc>
      </w:tr>
      <w:tr w:rsidR="00CB7564" w:rsidRPr="00B824AA" w14:paraId="7DE35FFF" w14:textId="77777777" w:rsidTr="00CB7564">
        <w:tc>
          <w:tcPr>
            <w:tcW w:w="2551" w:type="dxa"/>
            <w:tcBorders>
              <w:top w:val="nil"/>
              <w:left w:val="single" w:sz="4" w:space="0" w:color="auto"/>
              <w:bottom w:val="nil"/>
              <w:right w:val="single" w:sz="4" w:space="0" w:color="auto"/>
            </w:tcBorders>
            <w:vAlign w:val="center"/>
            <w:hideMark/>
          </w:tcPr>
          <w:p w14:paraId="1368C358" w14:textId="77777777" w:rsidR="00776085" w:rsidRPr="00B824AA" w:rsidRDefault="00776085">
            <w:pPr>
              <w:ind w:left="316"/>
              <w:rPr>
                <w:rFonts w:ascii="Times New Roman" w:hAnsi="Times New Roman" w:cs="Times New Roman"/>
                <w:color w:val="000000"/>
              </w:rPr>
            </w:pPr>
          </w:p>
          <w:p w14:paraId="7E5D927A" w14:textId="0A94BA3F" w:rsidR="00CB7564" w:rsidRPr="00B824AA" w:rsidRDefault="00CB7564">
            <w:pPr>
              <w:ind w:left="316"/>
              <w:rPr>
                <w:rFonts w:ascii="Times New Roman" w:hAnsi="Times New Roman" w:cs="Times New Roman"/>
              </w:rPr>
            </w:pPr>
            <w:r w:rsidRPr="00B824AA">
              <w:rPr>
                <w:rFonts w:ascii="Times New Roman" w:hAnsi="Times New Roman" w:cs="Times New Roman"/>
                <w:color w:val="000000"/>
              </w:rPr>
              <w:t>deprywacja materialna</w:t>
            </w:r>
            <w:r w:rsidR="00FE126E">
              <w:rPr>
                <w:rFonts w:ascii="Times New Roman" w:hAnsi="Times New Roman" w:cs="Times New Roman"/>
                <w:color w:val="000000"/>
              </w:rPr>
              <w:t xml:space="preserve"> i społeczna</w:t>
            </w:r>
          </w:p>
        </w:tc>
        <w:tc>
          <w:tcPr>
            <w:tcW w:w="2154" w:type="dxa"/>
            <w:tcBorders>
              <w:top w:val="nil"/>
              <w:left w:val="single" w:sz="4" w:space="0" w:color="auto"/>
              <w:bottom w:val="nil"/>
              <w:right w:val="single" w:sz="4" w:space="0" w:color="auto"/>
            </w:tcBorders>
            <w:vAlign w:val="bottom"/>
          </w:tcPr>
          <w:p w14:paraId="66C94243" w14:textId="77777777" w:rsidR="00CB7564" w:rsidRPr="00B824AA" w:rsidRDefault="00CB7564">
            <w:pPr>
              <w:tabs>
                <w:tab w:val="decimal" w:pos="1135"/>
              </w:tabs>
              <w:rPr>
                <w:rFonts w:ascii="Times New Roman" w:hAnsi="Times New Roman" w:cs="Times New Roman"/>
              </w:rPr>
            </w:pPr>
          </w:p>
        </w:tc>
        <w:tc>
          <w:tcPr>
            <w:tcW w:w="2154" w:type="dxa"/>
            <w:tcBorders>
              <w:top w:val="nil"/>
              <w:left w:val="single" w:sz="4" w:space="0" w:color="auto"/>
              <w:bottom w:val="nil"/>
              <w:right w:val="single" w:sz="4" w:space="0" w:color="auto"/>
            </w:tcBorders>
            <w:vAlign w:val="bottom"/>
          </w:tcPr>
          <w:p w14:paraId="51FFEC90" w14:textId="77777777" w:rsidR="00CB7564" w:rsidRPr="00B824AA" w:rsidRDefault="00CB7564">
            <w:pPr>
              <w:tabs>
                <w:tab w:val="decimal" w:pos="1107"/>
              </w:tabs>
              <w:rPr>
                <w:rFonts w:ascii="Times New Roman" w:hAnsi="Times New Roman" w:cs="Times New Roman"/>
              </w:rPr>
            </w:pPr>
          </w:p>
        </w:tc>
        <w:tc>
          <w:tcPr>
            <w:tcW w:w="2154" w:type="dxa"/>
            <w:tcBorders>
              <w:top w:val="nil"/>
              <w:left w:val="single" w:sz="4" w:space="0" w:color="auto"/>
              <w:bottom w:val="nil"/>
              <w:right w:val="single" w:sz="4" w:space="0" w:color="auto"/>
            </w:tcBorders>
            <w:vAlign w:val="bottom"/>
          </w:tcPr>
          <w:p w14:paraId="6223438D" w14:textId="77777777" w:rsidR="00CB7564" w:rsidRPr="00B824AA" w:rsidRDefault="00CB7564">
            <w:pPr>
              <w:tabs>
                <w:tab w:val="decimal" w:pos="1221"/>
              </w:tabs>
              <w:rPr>
                <w:rFonts w:ascii="Times New Roman" w:hAnsi="Times New Roman" w:cs="Times New Roman"/>
              </w:rPr>
            </w:pPr>
          </w:p>
        </w:tc>
      </w:tr>
      <w:tr w:rsidR="0087546B" w:rsidRPr="00B824AA" w14:paraId="4A3F4A6A" w14:textId="77777777" w:rsidTr="00866620">
        <w:tc>
          <w:tcPr>
            <w:tcW w:w="2551" w:type="dxa"/>
            <w:tcBorders>
              <w:top w:val="nil"/>
              <w:left w:val="single" w:sz="4" w:space="0" w:color="auto"/>
              <w:bottom w:val="nil"/>
              <w:right w:val="single" w:sz="4" w:space="0" w:color="auto"/>
            </w:tcBorders>
            <w:vAlign w:val="center"/>
            <w:hideMark/>
          </w:tcPr>
          <w:p w14:paraId="16E6A96F" w14:textId="77777777" w:rsidR="0087546B" w:rsidRPr="00B824AA" w:rsidRDefault="0087546B">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hideMark/>
          </w:tcPr>
          <w:p w14:paraId="29FEBB1A" w14:textId="4142F049" w:rsidR="0087546B" w:rsidRPr="0087546B" w:rsidRDefault="0087546B">
            <w:pPr>
              <w:tabs>
                <w:tab w:val="decimal" w:pos="1135"/>
              </w:tabs>
              <w:rPr>
                <w:rFonts w:ascii="Times New Roman" w:hAnsi="Times New Roman" w:cs="Times New Roman"/>
              </w:rPr>
            </w:pPr>
            <w:r w:rsidRPr="0087546B">
              <w:rPr>
                <w:rFonts w:ascii="Times New Roman" w:hAnsi="Times New Roman" w:cs="Times New Roman"/>
              </w:rPr>
              <w:t>38</w:t>
            </w:r>
          </w:p>
        </w:tc>
        <w:tc>
          <w:tcPr>
            <w:tcW w:w="2154" w:type="dxa"/>
            <w:tcBorders>
              <w:top w:val="nil"/>
              <w:left w:val="single" w:sz="4" w:space="0" w:color="auto"/>
              <w:bottom w:val="nil"/>
              <w:right w:val="single" w:sz="4" w:space="0" w:color="auto"/>
            </w:tcBorders>
            <w:hideMark/>
          </w:tcPr>
          <w:p w14:paraId="2C5C9BA1" w14:textId="31ECBEF1" w:rsidR="0087546B" w:rsidRPr="0087546B" w:rsidRDefault="0087546B">
            <w:pPr>
              <w:tabs>
                <w:tab w:val="decimal" w:pos="1107"/>
              </w:tabs>
              <w:rPr>
                <w:rFonts w:ascii="Times New Roman" w:hAnsi="Times New Roman" w:cs="Times New Roman"/>
              </w:rPr>
            </w:pPr>
            <w:r w:rsidRPr="0087546B">
              <w:rPr>
                <w:rFonts w:ascii="Times New Roman" w:hAnsi="Times New Roman" w:cs="Times New Roman"/>
              </w:rPr>
              <w:t>33</w:t>
            </w:r>
          </w:p>
        </w:tc>
        <w:tc>
          <w:tcPr>
            <w:tcW w:w="2154" w:type="dxa"/>
            <w:tcBorders>
              <w:top w:val="nil"/>
              <w:left w:val="single" w:sz="4" w:space="0" w:color="auto"/>
              <w:bottom w:val="nil"/>
              <w:right w:val="single" w:sz="4" w:space="0" w:color="auto"/>
            </w:tcBorders>
            <w:hideMark/>
          </w:tcPr>
          <w:p w14:paraId="77CB3864" w14:textId="7CA2C369" w:rsidR="0087546B" w:rsidRPr="0087546B" w:rsidRDefault="0087546B">
            <w:pPr>
              <w:tabs>
                <w:tab w:val="decimal" w:pos="1221"/>
              </w:tabs>
              <w:rPr>
                <w:rFonts w:ascii="Times New Roman" w:hAnsi="Times New Roman" w:cs="Times New Roman"/>
              </w:rPr>
            </w:pPr>
            <w:r w:rsidRPr="0087546B">
              <w:rPr>
                <w:rFonts w:ascii="Times New Roman" w:hAnsi="Times New Roman" w:cs="Times New Roman"/>
              </w:rPr>
              <w:t>101</w:t>
            </w:r>
          </w:p>
        </w:tc>
      </w:tr>
      <w:tr w:rsidR="0087546B" w:rsidRPr="00B824AA" w14:paraId="47238231" w14:textId="77777777" w:rsidTr="00866620">
        <w:tc>
          <w:tcPr>
            <w:tcW w:w="2551" w:type="dxa"/>
            <w:tcBorders>
              <w:top w:val="nil"/>
              <w:left w:val="single" w:sz="4" w:space="0" w:color="auto"/>
              <w:bottom w:val="nil"/>
              <w:right w:val="single" w:sz="4" w:space="0" w:color="auto"/>
            </w:tcBorders>
            <w:vAlign w:val="center"/>
            <w:hideMark/>
          </w:tcPr>
          <w:p w14:paraId="7916A889" w14:textId="77777777" w:rsidR="0087546B" w:rsidRPr="00B824AA" w:rsidRDefault="0087546B">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hideMark/>
          </w:tcPr>
          <w:p w14:paraId="754C7C6A" w14:textId="3CEF3B2A" w:rsidR="0087546B" w:rsidRPr="0087546B" w:rsidRDefault="0087546B">
            <w:pPr>
              <w:tabs>
                <w:tab w:val="decimal" w:pos="1135"/>
              </w:tabs>
              <w:rPr>
                <w:rFonts w:ascii="Times New Roman" w:hAnsi="Times New Roman" w:cs="Times New Roman"/>
              </w:rPr>
            </w:pPr>
            <w:r w:rsidRPr="0087546B">
              <w:rPr>
                <w:rFonts w:ascii="Times New Roman" w:hAnsi="Times New Roman" w:cs="Times New Roman"/>
              </w:rPr>
              <w:t>73</w:t>
            </w:r>
          </w:p>
        </w:tc>
        <w:tc>
          <w:tcPr>
            <w:tcW w:w="2154" w:type="dxa"/>
            <w:tcBorders>
              <w:top w:val="nil"/>
              <w:left w:val="single" w:sz="4" w:space="0" w:color="auto"/>
              <w:bottom w:val="nil"/>
              <w:right w:val="single" w:sz="4" w:space="0" w:color="auto"/>
            </w:tcBorders>
            <w:hideMark/>
          </w:tcPr>
          <w:p w14:paraId="124DD709" w14:textId="41C24D75" w:rsidR="0087546B" w:rsidRPr="0087546B" w:rsidRDefault="0087546B">
            <w:pPr>
              <w:tabs>
                <w:tab w:val="decimal" w:pos="1107"/>
              </w:tabs>
              <w:rPr>
                <w:rFonts w:ascii="Times New Roman" w:hAnsi="Times New Roman" w:cs="Times New Roman"/>
              </w:rPr>
            </w:pPr>
            <w:r w:rsidRPr="0087546B">
              <w:rPr>
                <w:rFonts w:ascii="Times New Roman" w:hAnsi="Times New Roman" w:cs="Times New Roman"/>
              </w:rPr>
              <w:t>66</w:t>
            </w:r>
          </w:p>
        </w:tc>
        <w:tc>
          <w:tcPr>
            <w:tcW w:w="2154" w:type="dxa"/>
            <w:tcBorders>
              <w:top w:val="nil"/>
              <w:left w:val="single" w:sz="4" w:space="0" w:color="auto"/>
              <w:bottom w:val="nil"/>
              <w:right w:val="single" w:sz="4" w:space="0" w:color="auto"/>
            </w:tcBorders>
            <w:hideMark/>
          </w:tcPr>
          <w:p w14:paraId="4F3F36BB" w14:textId="7C3FD15B" w:rsidR="0087546B" w:rsidRPr="0087546B" w:rsidRDefault="0087546B">
            <w:pPr>
              <w:tabs>
                <w:tab w:val="decimal" w:pos="1221"/>
              </w:tabs>
              <w:rPr>
                <w:rFonts w:ascii="Times New Roman" w:hAnsi="Times New Roman" w:cs="Times New Roman"/>
              </w:rPr>
            </w:pPr>
            <w:r w:rsidRPr="0087546B">
              <w:rPr>
                <w:rFonts w:ascii="Times New Roman" w:hAnsi="Times New Roman" w:cs="Times New Roman"/>
              </w:rPr>
              <w:t>123</w:t>
            </w:r>
          </w:p>
        </w:tc>
      </w:tr>
      <w:tr w:rsidR="0087546B" w:rsidRPr="00B824AA" w14:paraId="3BBA38CA" w14:textId="77777777" w:rsidTr="00866620">
        <w:tc>
          <w:tcPr>
            <w:tcW w:w="2551" w:type="dxa"/>
            <w:tcBorders>
              <w:top w:val="nil"/>
              <w:left w:val="single" w:sz="4" w:space="0" w:color="auto"/>
              <w:bottom w:val="nil"/>
              <w:right w:val="single" w:sz="4" w:space="0" w:color="auto"/>
            </w:tcBorders>
            <w:vAlign w:val="center"/>
            <w:hideMark/>
          </w:tcPr>
          <w:p w14:paraId="38467EF9" w14:textId="49C132FD" w:rsidR="0087546B" w:rsidRPr="00B824AA" w:rsidRDefault="0087546B" w:rsidP="0012287C">
            <w:pPr>
              <w:ind w:left="316"/>
              <w:rPr>
                <w:rFonts w:ascii="Times New Roman" w:hAnsi="Times New Roman" w:cs="Times New Roman"/>
                <w:color w:val="000000"/>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hideMark/>
          </w:tcPr>
          <w:p w14:paraId="0381E2E3" w14:textId="03528106" w:rsidR="0087546B" w:rsidRPr="0087546B" w:rsidRDefault="0087546B">
            <w:pPr>
              <w:tabs>
                <w:tab w:val="decimal" w:pos="1135"/>
              </w:tabs>
              <w:rPr>
                <w:rFonts w:ascii="Times New Roman" w:hAnsi="Times New Roman" w:cs="Times New Roman"/>
                <w:color w:val="000000"/>
              </w:rPr>
            </w:pPr>
            <w:r w:rsidRPr="0087546B">
              <w:rPr>
                <w:rFonts w:ascii="Times New Roman" w:hAnsi="Times New Roman" w:cs="Times New Roman"/>
              </w:rPr>
              <w:t>174</w:t>
            </w:r>
          </w:p>
        </w:tc>
        <w:tc>
          <w:tcPr>
            <w:tcW w:w="2154" w:type="dxa"/>
            <w:tcBorders>
              <w:top w:val="nil"/>
              <w:left w:val="single" w:sz="4" w:space="0" w:color="auto"/>
              <w:bottom w:val="nil"/>
              <w:right w:val="single" w:sz="4" w:space="0" w:color="auto"/>
            </w:tcBorders>
            <w:hideMark/>
          </w:tcPr>
          <w:p w14:paraId="28E9DC6F" w14:textId="36FF0626" w:rsidR="0087546B" w:rsidRPr="0087546B" w:rsidRDefault="0087546B">
            <w:pPr>
              <w:tabs>
                <w:tab w:val="decimal" w:pos="1107"/>
              </w:tabs>
              <w:rPr>
                <w:rFonts w:ascii="Times New Roman" w:hAnsi="Times New Roman" w:cs="Times New Roman"/>
              </w:rPr>
            </w:pPr>
            <w:r w:rsidRPr="0087546B">
              <w:rPr>
                <w:rFonts w:ascii="Times New Roman" w:hAnsi="Times New Roman" w:cs="Times New Roman"/>
              </w:rPr>
              <w:t>182</w:t>
            </w:r>
          </w:p>
        </w:tc>
        <w:tc>
          <w:tcPr>
            <w:tcW w:w="2154" w:type="dxa"/>
            <w:tcBorders>
              <w:top w:val="nil"/>
              <w:left w:val="single" w:sz="4" w:space="0" w:color="auto"/>
              <w:bottom w:val="nil"/>
              <w:right w:val="single" w:sz="4" w:space="0" w:color="auto"/>
            </w:tcBorders>
            <w:hideMark/>
          </w:tcPr>
          <w:p w14:paraId="2EBA4A1E" w14:textId="1DE66661" w:rsidR="0087546B" w:rsidRPr="0087546B" w:rsidRDefault="0087546B">
            <w:pPr>
              <w:tabs>
                <w:tab w:val="decimal" w:pos="1221"/>
              </w:tabs>
              <w:rPr>
                <w:rFonts w:ascii="Times New Roman" w:hAnsi="Times New Roman" w:cs="Times New Roman"/>
              </w:rPr>
            </w:pPr>
            <w:r w:rsidRPr="0087546B">
              <w:rPr>
                <w:rFonts w:ascii="Times New Roman" w:hAnsi="Times New Roman" w:cs="Times New Roman"/>
              </w:rPr>
              <w:t>149</w:t>
            </w:r>
          </w:p>
        </w:tc>
      </w:tr>
      <w:tr w:rsidR="0087546B" w:rsidRPr="00B824AA" w14:paraId="6293A91E" w14:textId="77777777" w:rsidTr="00866620">
        <w:tc>
          <w:tcPr>
            <w:tcW w:w="2551" w:type="dxa"/>
            <w:tcBorders>
              <w:top w:val="nil"/>
              <w:left w:val="single" w:sz="4" w:space="0" w:color="auto"/>
              <w:bottom w:val="nil"/>
              <w:right w:val="single" w:sz="4" w:space="0" w:color="auto"/>
            </w:tcBorders>
            <w:vAlign w:val="center"/>
          </w:tcPr>
          <w:p w14:paraId="0EB6AC24" w14:textId="55CBDE41" w:rsidR="0087546B" w:rsidRPr="00B824AA" w:rsidRDefault="0087546B" w:rsidP="0012287C">
            <w:pPr>
              <w:ind w:left="316"/>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tcPr>
          <w:p w14:paraId="10F6A8CA" w14:textId="2AF2585A" w:rsidR="0087546B" w:rsidRPr="0087546B" w:rsidRDefault="0087546B">
            <w:pPr>
              <w:tabs>
                <w:tab w:val="decimal" w:pos="1135"/>
              </w:tabs>
              <w:rPr>
                <w:rFonts w:ascii="Times New Roman" w:hAnsi="Times New Roman" w:cs="Times New Roman"/>
                <w:color w:val="000000"/>
              </w:rPr>
            </w:pPr>
            <w:r w:rsidRPr="0087546B">
              <w:rPr>
                <w:rFonts w:ascii="Times New Roman" w:hAnsi="Times New Roman" w:cs="Times New Roman"/>
              </w:rPr>
              <w:t>140</w:t>
            </w:r>
          </w:p>
        </w:tc>
        <w:tc>
          <w:tcPr>
            <w:tcW w:w="2154" w:type="dxa"/>
            <w:tcBorders>
              <w:top w:val="nil"/>
              <w:left w:val="single" w:sz="4" w:space="0" w:color="auto"/>
              <w:bottom w:val="nil"/>
              <w:right w:val="single" w:sz="4" w:space="0" w:color="auto"/>
            </w:tcBorders>
          </w:tcPr>
          <w:p w14:paraId="61B5FA57" w14:textId="2E34489E" w:rsidR="0087546B" w:rsidRPr="0087546B" w:rsidRDefault="0087546B">
            <w:pPr>
              <w:tabs>
                <w:tab w:val="decimal" w:pos="1107"/>
              </w:tabs>
              <w:rPr>
                <w:rFonts w:ascii="Times New Roman" w:hAnsi="Times New Roman" w:cs="Times New Roman"/>
                <w:color w:val="000000"/>
              </w:rPr>
            </w:pPr>
            <w:r w:rsidRPr="0087546B">
              <w:rPr>
                <w:rFonts w:ascii="Times New Roman" w:hAnsi="Times New Roman" w:cs="Times New Roman"/>
              </w:rPr>
              <w:t>142</w:t>
            </w:r>
          </w:p>
        </w:tc>
        <w:tc>
          <w:tcPr>
            <w:tcW w:w="2154" w:type="dxa"/>
            <w:tcBorders>
              <w:top w:val="nil"/>
              <w:left w:val="single" w:sz="4" w:space="0" w:color="auto"/>
              <w:bottom w:val="nil"/>
              <w:right w:val="single" w:sz="4" w:space="0" w:color="auto"/>
            </w:tcBorders>
          </w:tcPr>
          <w:p w14:paraId="1D51B4D9" w14:textId="26D299A9" w:rsidR="0087546B" w:rsidRPr="0087546B" w:rsidRDefault="0087546B">
            <w:pPr>
              <w:tabs>
                <w:tab w:val="decimal" w:pos="1221"/>
              </w:tabs>
              <w:rPr>
                <w:rFonts w:ascii="Times New Roman" w:hAnsi="Times New Roman" w:cs="Times New Roman"/>
                <w:color w:val="000000"/>
              </w:rPr>
            </w:pPr>
            <w:r w:rsidRPr="0087546B">
              <w:rPr>
                <w:rFonts w:ascii="Times New Roman" w:hAnsi="Times New Roman" w:cs="Times New Roman"/>
              </w:rPr>
              <w:t>134</w:t>
            </w:r>
          </w:p>
        </w:tc>
      </w:tr>
      <w:tr w:rsidR="0087546B" w:rsidRPr="00B824AA" w14:paraId="2CF233D3" w14:textId="77777777" w:rsidTr="00866620">
        <w:tc>
          <w:tcPr>
            <w:tcW w:w="2551" w:type="dxa"/>
            <w:tcBorders>
              <w:top w:val="nil"/>
              <w:left w:val="single" w:sz="4" w:space="0" w:color="auto"/>
              <w:bottom w:val="single" w:sz="4" w:space="0" w:color="auto"/>
              <w:right w:val="single" w:sz="4" w:space="0" w:color="auto"/>
            </w:tcBorders>
            <w:vAlign w:val="center"/>
          </w:tcPr>
          <w:p w14:paraId="657D09CC" w14:textId="091A5535" w:rsidR="0087546B" w:rsidRPr="00B824AA" w:rsidRDefault="0087546B" w:rsidP="0012287C">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single" w:sz="4" w:space="0" w:color="auto"/>
              <w:right w:val="single" w:sz="4" w:space="0" w:color="auto"/>
            </w:tcBorders>
          </w:tcPr>
          <w:p w14:paraId="08EDC256" w14:textId="785DAE13" w:rsidR="0087546B" w:rsidRPr="0087546B" w:rsidRDefault="0087546B">
            <w:pPr>
              <w:tabs>
                <w:tab w:val="decimal" w:pos="1135"/>
              </w:tabs>
              <w:rPr>
                <w:rFonts w:ascii="Times New Roman" w:hAnsi="Times New Roman" w:cs="Times New Roman"/>
                <w:color w:val="000000"/>
              </w:rPr>
            </w:pPr>
            <w:r w:rsidRPr="0087546B">
              <w:rPr>
                <w:rFonts w:ascii="Times New Roman" w:hAnsi="Times New Roman" w:cs="Times New Roman"/>
              </w:rPr>
              <w:t>169</w:t>
            </w:r>
          </w:p>
        </w:tc>
        <w:tc>
          <w:tcPr>
            <w:tcW w:w="2154" w:type="dxa"/>
            <w:tcBorders>
              <w:top w:val="nil"/>
              <w:left w:val="single" w:sz="4" w:space="0" w:color="auto"/>
              <w:bottom w:val="single" w:sz="4" w:space="0" w:color="auto"/>
              <w:right w:val="single" w:sz="4" w:space="0" w:color="auto"/>
            </w:tcBorders>
          </w:tcPr>
          <w:p w14:paraId="244524F3" w14:textId="3CEC0C42" w:rsidR="0087546B" w:rsidRPr="0087546B" w:rsidRDefault="0087546B">
            <w:pPr>
              <w:tabs>
                <w:tab w:val="decimal" w:pos="1107"/>
              </w:tabs>
              <w:rPr>
                <w:rFonts w:ascii="Times New Roman" w:hAnsi="Times New Roman" w:cs="Times New Roman"/>
                <w:color w:val="000000"/>
              </w:rPr>
            </w:pPr>
            <w:r w:rsidRPr="0087546B">
              <w:rPr>
                <w:rFonts w:ascii="Times New Roman" w:hAnsi="Times New Roman" w:cs="Times New Roman"/>
              </w:rPr>
              <w:t>177</w:t>
            </w:r>
          </w:p>
        </w:tc>
        <w:tc>
          <w:tcPr>
            <w:tcW w:w="2154" w:type="dxa"/>
            <w:tcBorders>
              <w:top w:val="nil"/>
              <w:left w:val="single" w:sz="4" w:space="0" w:color="auto"/>
              <w:bottom w:val="single" w:sz="4" w:space="0" w:color="auto"/>
              <w:right w:val="single" w:sz="4" w:space="0" w:color="auto"/>
            </w:tcBorders>
          </w:tcPr>
          <w:p w14:paraId="0BA7519A" w14:textId="469F1578" w:rsidR="0087546B" w:rsidRPr="0087546B" w:rsidRDefault="0087546B">
            <w:pPr>
              <w:tabs>
                <w:tab w:val="decimal" w:pos="1221"/>
              </w:tabs>
              <w:rPr>
                <w:rFonts w:ascii="Times New Roman" w:hAnsi="Times New Roman" w:cs="Times New Roman"/>
                <w:color w:val="000000"/>
              </w:rPr>
            </w:pPr>
            <w:r w:rsidRPr="0087546B">
              <w:rPr>
                <w:rFonts w:ascii="Times New Roman" w:hAnsi="Times New Roman" w:cs="Times New Roman"/>
              </w:rPr>
              <w:t>143</w:t>
            </w:r>
          </w:p>
        </w:tc>
      </w:tr>
    </w:tbl>
    <w:p w14:paraId="0E8631A3" w14:textId="77777777" w:rsidR="00776085" w:rsidRDefault="00776085" w:rsidP="00776085">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77DFF756" w14:textId="77777777" w:rsidR="00076DDB" w:rsidRPr="00B824AA" w:rsidRDefault="00076DDB" w:rsidP="00776085">
      <w:pPr>
        <w:rPr>
          <w:rFonts w:ascii="Times New Roman" w:hAnsi="Times New Roman" w:cs="Times New Roman"/>
          <w:i/>
          <w:iCs/>
          <w:sz w:val="24"/>
          <w:szCs w:val="24"/>
        </w:rPr>
      </w:pPr>
    </w:p>
    <w:p w14:paraId="3F44648A" w14:textId="74F0A4E3" w:rsidR="00EA3005" w:rsidRPr="00B824AA" w:rsidRDefault="00EA3005" w:rsidP="00EA3005">
      <w:pPr>
        <w:pStyle w:val="Heading1"/>
        <w:numPr>
          <w:ilvl w:val="0"/>
          <w:numId w:val="6"/>
        </w:numPr>
        <w:rPr>
          <w:rFonts w:ascii="Times New Roman" w:hAnsi="Times New Roman" w:cs="Times New Roman"/>
          <w:sz w:val="36"/>
          <w:szCs w:val="36"/>
        </w:rPr>
      </w:pPr>
      <w:bookmarkStart w:id="7" w:name="_Toc162905463"/>
      <w:r w:rsidRPr="00B824AA">
        <w:rPr>
          <w:rFonts w:ascii="Times New Roman" w:hAnsi="Times New Roman" w:cs="Times New Roman"/>
          <w:sz w:val="36"/>
          <w:szCs w:val="36"/>
        </w:rPr>
        <w:lastRenderedPageBreak/>
        <w:t>Rynek pracy</w:t>
      </w:r>
      <w:r w:rsidR="004425C6" w:rsidRPr="00B824AA">
        <w:rPr>
          <w:rFonts w:ascii="Times New Roman" w:hAnsi="Times New Roman" w:cs="Times New Roman"/>
          <w:sz w:val="36"/>
          <w:szCs w:val="36"/>
          <w:vertAlign w:val="superscript"/>
        </w:rPr>
        <w:footnoteReference w:id="3"/>
      </w:r>
      <w:bookmarkEnd w:id="7"/>
    </w:p>
    <w:p w14:paraId="3DD1C6D8" w14:textId="7F9F98D6" w:rsidR="00EA3005" w:rsidRPr="00B824AA" w:rsidRDefault="00EA3005" w:rsidP="00EA3005">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Agnieszka Chłoń-Domińczak, Iga Magda, Paweł Strzelecki</w:t>
      </w:r>
    </w:p>
    <w:p w14:paraId="55672C5B" w14:textId="75B48292" w:rsidR="00392B71" w:rsidRPr="00B824AA" w:rsidRDefault="00392B71" w:rsidP="00392B71">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W wymiar</w:t>
      </w:r>
      <w:r w:rsidR="007C3F97">
        <w:rPr>
          <w:rFonts w:ascii="Times New Roman" w:hAnsi="Times New Roman" w:cs="Times New Roman"/>
          <w:sz w:val="24"/>
          <w:szCs w:val="24"/>
        </w:rPr>
        <w:t>ze</w:t>
      </w:r>
      <w:r w:rsidRPr="00B824AA">
        <w:rPr>
          <w:rFonts w:ascii="Times New Roman" w:hAnsi="Times New Roman" w:cs="Times New Roman"/>
          <w:sz w:val="24"/>
          <w:szCs w:val="24"/>
        </w:rPr>
        <w:t xml:space="preserve"> </w:t>
      </w:r>
      <w:r w:rsidRPr="00B824AA">
        <w:rPr>
          <w:rFonts w:ascii="Times New Roman" w:hAnsi="Times New Roman" w:cs="Times New Roman"/>
          <w:i/>
          <w:iCs/>
          <w:sz w:val="24"/>
          <w:szCs w:val="24"/>
        </w:rPr>
        <w:t>Rynek pracy</w:t>
      </w:r>
      <w:r w:rsidRPr="00B824AA">
        <w:rPr>
          <w:rFonts w:ascii="Times New Roman" w:hAnsi="Times New Roman" w:cs="Times New Roman"/>
          <w:sz w:val="24"/>
          <w:szCs w:val="24"/>
        </w:rPr>
        <w:t xml:space="preserve"> wyróżniono cztery wskaźniki cząstkowe, odnoszące się do różnych aspektów funkcjonowania rynku pracy: zatrudnienia, wynagrodzeń, równości płci oraz stabilności zatrudnienia. </w:t>
      </w:r>
    </w:p>
    <w:p w14:paraId="721D7A9E" w14:textId="1BC59068" w:rsidR="00392B71" w:rsidRPr="007C3F97" w:rsidRDefault="00392B71" w:rsidP="23A1E861">
      <w:pPr>
        <w:spacing w:line="360" w:lineRule="auto"/>
        <w:jc w:val="both"/>
        <w:rPr>
          <w:rFonts w:ascii="Times New Roman" w:hAnsi="Times New Roman" w:cs="Times New Roman"/>
          <w:i/>
          <w:iCs/>
          <w:sz w:val="24"/>
          <w:szCs w:val="24"/>
        </w:rPr>
      </w:pPr>
      <w:r w:rsidRPr="23A1E861">
        <w:rPr>
          <w:rFonts w:ascii="Times New Roman" w:hAnsi="Times New Roman" w:cs="Times New Roman"/>
          <w:sz w:val="24"/>
          <w:szCs w:val="24"/>
        </w:rPr>
        <w:t xml:space="preserve">Łącznie w </w:t>
      </w:r>
      <w:r w:rsidR="007C3F97" w:rsidRPr="23A1E861">
        <w:rPr>
          <w:rFonts w:ascii="Times New Roman" w:hAnsi="Times New Roman" w:cs="Times New Roman"/>
          <w:sz w:val="24"/>
          <w:szCs w:val="24"/>
        </w:rPr>
        <w:t>tym wymiarze</w:t>
      </w:r>
      <w:r w:rsidRPr="23A1E861">
        <w:rPr>
          <w:rFonts w:ascii="Times New Roman" w:hAnsi="Times New Roman" w:cs="Times New Roman"/>
          <w:sz w:val="24"/>
          <w:szCs w:val="24"/>
        </w:rPr>
        <w:t xml:space="preserve"> obserwujemy poprawę pozycji Polski ogółem w latach 2010-2020, zarówno w relacji do krajów UE 2</w:t>
      </w:r>
      <w:r w:rsidR="00433AAB" w:rsidRPr="23A1E861">
        <w:rPr>
          <w:rFonts w:ascii="Times New Roman" w:hAnsi="Times New Roman" w:cs="Times New Roman"/>
          <w:sz w:val="24"/>
          <w:szCs w:val="24"/>
        </w:rPr>
        <w:t>7</w:t>
      </w:r>
      <w:r w:rsidRPr="23A1E861">
        <w:rPr>
          <w:rFonts w:ascii="Times New Roman" w:hAnsi="Times New Roman" w:cs="Times New Roman"/>
          <w:sz w:val="24"/>
          <w:szCs w:val="24"/>
        </w:rPr>
        <w:t>, jak i osobno – porównując oddzielnie do krajów UE</w:t>
      </w:r>
      <w:r w:rsidR="00433AAB" w:rsidRPr="23A1E861">
        <w:rPr>
          <w:rFonts w:ascii="Times New Roman" w:hAnsi="Times New Roman" w:cs="Times New Roman"/>
          <w:sz w:val="24"/>
          <w:szCs w:val="24"/>
        </w:rPr>
        <w:t>-</w:t>
      </w:r>
      <w:r w:rsidRPr="23A1E861">
        <w:rPr>
          <w:rFonts w:ascii="Times New Roman" w:hAnsi="Times New Roman" w:cs="Times New Roman"/>
          <w:sz w:val="24"/>
          <w:szCs w:val="24"/>
        </w:rPr>
        <w:t>1</w:t>
      </w:r>
      <w:r w:rsidR="00433AAB" w:rsidRPr="23A1E861">
        <w:rPr>
          <w:rFonts w:ascii="Times New Roman" w:hAnsi="Times New Roman" w:cs="Times New Roman"/>
          <w:sz w:val="24"/>
          <w:szCs w:val="24"/>
        </w:rPr>
        <w:t>4</w:t>
      </w:r>
      <w:r w:rsidRPr="23A1E861">
        <w:rPr>
          <w:rFonts w:ascii="Times New Roman" w:hAnsi="Times New Roman" w:cs="Times New Roman"/>
          <w:sz w:val="24"/>
          <w:szCs w:val="24"/>
        </w:rPr>
        <w:t xml:space="preserve"> i </w:t>
      </w:r>
      <w:r w:rsidR="00433AAB" w:rsidRPr="23A1E861">
        <w:rPr>
          <w:rFonts w:ascii="Times New Roman" w:hAnsi="Times New Roman" w:cs="Times New Roman"/>
          <w:sz w:val="24"/>
          <w:szCs w:val="24"/>
        </w:rPr>
        <w:t>UE-13</w:t>
      </w:r>
      <w:r w:rsidRPr="23A1E861">
        <w:rPr>
          <w:rFonts w:ascii="Times New Roman" w:hAnsi="Times New Roman" w:cs="Times New Roman"/>
          <w:sz w:val="24"/>
          <w:szCs w:val="24"/>
        </w:rPr>
        <w:t>. W przypadku krajów UE 2</w:t>
      </w:r>
      <w:r w:rsidR="00433AAB" w:rsidRPr="23A1E861">
        <w:rPr>
          <w:rFonts w:ascii="Times New Roman" w:hAnsi="Times New Roman" w:cs="Times New Roman"/>
          <w:sz w:val="24"/>
          <w:szCs w:val="24"/>
        </w:rPr>
        <w:t>7</w:t>
      </w:r>
      <w:r w:rsidRPr="23A1E861">
        <w:rPr>
          <w:rFonts w:ascii="Times New Roman" w:hAnsi="Times New Roman" w:cs="Times New Roman"/>
          <w:sz w:val="24"/>
          <w:szCs w:val="24"/>
        </w:rPr>
        <w:t xml:space="preserve"> wzrost wskaźnika </w:t>
      </w:r>
      <w:r w:rsidR="6D7EFB5E" w:rsidRPr="23A1E861">
        <w:rPr>
          <w:rFonts w:ascii="Times New Roman" w:hAnsi="Times New Roman" w:cs="Times New Roman"/>
          <w:sz w:val="24"/>
          <w:szCs w:val="24"/>
        </w:rPr>
        <w:t>zatrudnienia był</w:t>
      </w:r>
      <w:r w:rsidRPr="23A1E861">
        <w:rPr>
          <w:rFonts w:ascii="Times New Roman" w:hAnsi="Times New Roman" w:cs="Times New Roman"/>
          <w:sz w:val="24"/>
          <w:szCs w:val="24"/>
        </w:rPr>
        <w:t xml:space="preserve"> nieco wyższy między 2015 i 2020 r (z 64 do 69 procent</w:t>
      </w:r>
      <w:r w:rsidR="3D2F8AA8" w:rsidRPr="23A1E861">
        <w:rPr>
          <w:rFonts w:ascii="Times New Roman" w:hAnsi="Times New Roman" w:cs="Times New Roman"/>
          <w:sz w:val="24"/>
          <w:szCs w:val="24"/>
        </w:rPr>
        <w:t>), niż</w:t>
      </w:r>
      <w:r w:rsidRPr="23A1E861">
        <w:rPr>
          <w:rFonts w:ascii="Times New Roman" w:hAnsi="Times New Roman" w:cs="Times New Roman"/>
          <w:sz w:val="24"/>
          <w:szCs w:val="24"/>
        </w:rPr>
        <w:t xml:space="preserve"> w Polsce, co oznacza, że nadal sytuacja w </w:t>
      </w:r>
      <w:r w:rsidR="007C3F97" w:rsidRPr="23A1E861">
        <w:rPr>
          <w:rFonts w:ascii="Times New Roman" w:hAnsi="Times New Roman" w:cs="Times New Roman"/>
          <w:sz w:val="24"/>
          <w:szCs w:val="24"/>
        </w:rPr>
        <w:t>wymiarze</w:t>
      </w:r>
      <w:r w:rsidRPr="23A1E861">
        <w:rPr>
          <w:rFonts w:ascii="Times New Roman" w:hAnsi="Times New Roman" w:cs="Times New Roman"/>
          <w:sz w:val="24"/>
          <w:szCs w:val="24"/>
        </w:rPr>
        <w:t xml:space="preserve"> rynku pracy w Polsce jest mniej korzystna niż w krajach UE 2</w:t>
      </w:r>
      <w:r w:rsidR="007C3F97" w:rsidRPr="23A1E861">
        <w:rPr>
          <w:rFonts w:ascii="Times New Roman" w:hAnsi="Times New Roman" w:cs="Times New Roman"/>
          <w:sz w:val="24"/>
          <w:szCs w:val="24"/>
        </w:rPr>
        <w:t>7</w:t>
      </w:r>
      <w:r w:rsidRPr="23A1E861">
        <w:rPr>
          <w:rFonts w:ascii="Times New Roman" w:hAnsi="Times New Roman" w:cs="Times New Roman"/>
          <w:sz w:val="24"/>
          <w:szCs w:val="24"/>
        </w:rPr>
        <w:t xml:space="preserve">. W 2020 r. w </w:t>
      </w:r>
      <w:r w:rsidR="007C3F97" w:rsidRPr="23A1E861">
        <w:rPr>
          <w:rFonts w:ascii="Times New Roman" w:hAnsi="Times New Roman" w:cs="Times New Roman"/>
          <w:sz w:val="24"/>
          <w:szCs w:val="24"/>
        </w:rPr>
        <w:t>wymiarze</w:t>
      </w:r>
      <w:r w:rsidRPr="23A1E861">
        <w:rPr>
          <w:rFonts w:ascii="Times New Roman" w:hAnsi="Times New Roman" w:cs="Times New Roman"/>
          <w:sz w:val="24"/>
          <w:szCs w:val="24"/>
        </w:rPr>
        <w:t xml:space="preserve"> rynku pracy wskaźnik </w:t>
      </w:r>
      <w:proofErr w:type="spellStart"/>
      <w:r w:rsidRPr="23A1E861">
        <w:rPr>
          <w:rFonts w:ascii="Times New Roman" w:hAnsi="Times New Roman" w:cs="Times New Roman"/>
          <w:i/>
          <w:iCs/>
          <w:sz w:val="24"/>
          <w:szCs w:val="24"/>
        </w:rPr>
        <w:t>catch-up</w:t>
      </w:r>
      <w:proofErr w:type="spellEnd"/>
      <w:r w:rsidRPr="23A1E861">
        <w:rPr>
          <w:rFonts w:ascii="Times New Roman" w:hAnsi="Times New Roman" w:cs="Times New Roman"/>
          <w:i/>
          <w:iCs/>
          <w:sz w:val="24"/>
          <w:szCs w:val="24"/>
        </w:rPr>
        <w:t xml:space="preserve"> </w:t>
      </w:r>
      <w:r w:rsidRPr="23A1E861">
        <w:rPr>
          <w:rFonts w:ascii="Times New Roman" w:hAnsi="Times New Roman" w:cs="Times New Roman"/>
          <w:sz w:val="24"/>
          <w:szCs w:val="24"/>
        </w:rPr>
        <w:t>dla Polski był wyższy w relacji do krajów UE1</w:t>
      </w:r>
      <w:r w:rsidR="0046423A" w:rsidRPr="23A1E861">
        <w:rPr>
          <w:rFonts w:ascii="Times New Roman" w:hAnsi="Times New Roman" w:cs="Times New Roman"/>
          <w:sz w:val="24"/>
          <w:szCs w:val="24"/>
        </w:rPr>
        <w:t>4</w:t>
      </w:r>
      <w:r w:rsidRPr="23A1E861">
        <w:rPr>
          <w:rFonts w:ascii="Times New Roman" w:hAnsi="Times New Roman" w:cs="Times New Roman"/>
          <w:sz w:val="24"/>
          <w:szCs w:val="24"/>
        </w:rPr>
        <w:t xml:space="preserve"> (71 procent) niż krajów </w:t>
      </w:r>
      <w:r w:rsidR="0046423A" w:rsidRPr="23A1E861">
        <w:rPr>
          <w:rFonts w:ascii="Times New Roman" w:hAnsi="Times New Roman" w:cs="Times New Roman"/>
          <w:sz w:val="24"/>
          <w:szCs w:val="24"/>
        </w:rPr>
        <w:t>UE 13</w:t>
      </w:r>
      <w:r w:rsidRPr="23A1E861">
        <w:rPr>
          <w:rFonts w:ascii="Times New Roman" w:hAnsi="Times New Roman" w:cs="Times New Roman"/>
          <w:sz w:val="24"/>
          <w:szCs w:val="24"/>
        </w:rPr>
        <w:t xml:space="preserve"> (69 procent). </w:t>
      </w:r>
      <w:r w:rsidR="007C3F97" w:rsidRPr="23A1E861">
        <w:rPr>
          <w:rFonts w:ascii="Times New Roman" w:hAnsi="Times New Roman" w:cs="Times New Roman"/>
          <w:sz w:val="24"/>
          <w:szCs w:val="24"/>
        </w:rPr>
        <w:t xml:space="preserve">W 2021 r. dystans dalej uległ zmniejszeniu, i wartość wskaźnika </w:t>
      </w:r>
      <w:proofErr w:type="spellStart"/>
      <w:r w:rsidR="007C3F97" w:rsidRPr="23A1E861">
        <w:rPr>
          <w:rFonts w:ascii="Times New Roman" w:hAnsi="Times New Roman" w:cs="Times New Roman"/>
          <w:i/>
          <w:iCs/>
          <w:sz w:val="24"/>
          <w:szCs w:val="24"/>
        </w:rPr>
        <w:t>catch-up</w:t>
      </w:r>
      <w:proofErr w:type="spellEnd"/>
      <w:r w:rsidR="007C3F97" w:rsidRPr="23A1E861">
        <w:rPr>
          <w:rFonts w:ascii="Times New Roman" w:hAnsi="Times New Roman" w:cs="Times New Roman"/>
          <w:sz w:val="24"/>
          <w:szCs w:val="24"/>
        </w:rPr>
        <w:t xml:space="preserve"> wzrosła o 8 punktów procentowanych dla krajów UE 27, 6 punktów procentowych dla krajów UE 14 i 9 punktów procentowych dla krajów UE 13.</w:t>
      </w:r>
      <w:r w:rsidR="009B2D4F">
        <w:rPr>
          <w:rFonts w:ascii="Times New Roman" w:hAnsi="Times New Roman" w:cs="Times New Roman"/>
          <w:sz w:val="24"/>
          <w:szCs w:val="24"/>
        </w:rPr>
        <w:t xml:space="preserve"> W 2022 r. dystans do wszystkich trzech grup krajów nieznacznie się zwiększył, głównie za sprawą relatywnego pogorszenia się stabilności zatrudnienia w Polsce. </w:t>
      </w:r>
    </w:p>
    <w:p w14:paraId="4B27CB05" w14:textId="6DDD87ED" w:rsidR="00392B71" w:rsidRPr="00B824AA" w:rsidRDefault="00392B71" w:rsidP="00392B71">
      <w:pPr>
        <w:spacing w:line="360" w:lineRule="auto"/>
        <w:jc w:val="both"/>
        <w:rPr>
          <w:rFonts w:ascii="Times New Roman" w:hAnsi="Times New Roman" w:cs="Times New Roman"/>
          <w:sz w:val="24"/>
          <w:szCs w:val="24"/>
        </w:rPr>
      </w:pPr>
      <w:r w:rsidRPr="23A1E861">
        <w:rPr>
          <w:rFonts w:ascii="Times New Roman" w:hAnsi="Times New Roman" w:cs="Times New Roman"/>
          <w:sz w:val="24"/>
          <w:szCs w:val="24"/>
        </w:rPr>
        <w:t xml:space="preserve">Pierwszy ze wskaźników cząstkowych w </w:t>
      </w:r>
      <w:r w:rsidR="005D5D61" w:rsidRPr="23A1E861">
        <w:rPr>
          <w:rFonts w:ascii="Times New Roman" w:hAnsi="Times New Roman" w:cs="Times New Roman"/>
          <w:sz w:val="24"/>
          <w:szCs w:val="24"/>
        </w:rPr>
        <w:t>wymiarze</w:t>
      </w:r>
      <w:r w:rsidRPr="23A1E861">
        <w:rPr>
          <w:rFonts w:ascii="Times New Roman" w:hAnsi="Times New Roman" w:cs="Times New Roman"/>
          <w:sz w:val="24"/>
          <w:szCs w:val="24"/>
        </w:rPr>
        <w:t xml:space="preserve"> rynku pracy - wskaźnik zatrudnienia - wskazuje na stopień zaangażowania osób w wieku 20-64 lata na rynku pracy. Jest on jednym z</w:t>
      </w:r>
      <w:r w:rsidR="007C3F97" w:rsidRPr="23A1E861">
        <w:rPr>
          <w:rFonts w:ascii="Times New Roman" w:hAnsi="Times New Roman" w:cs="Times New Roman"/>
          <w:sz w:val="24"/>
          <w:szCs w:val="24"/>
        </w:rPr>
        <w:t> </w:t>
      </w:r>
      <w:r w:rsidRPr="23A1E861">
        <w:rPr>
          <w:rFonts w:ascii="Times New Roman" w:hAnsi="Times New Roman" w:cs="Times New Roman"/>
          <w:sz w:val="24"/>
          <w:szCs w:val="24"/>
        </w:rPr>
        <w:t xml:space="preserve">kluczowych wskaźników stosowanych do monitorowania polityki zatrudnienia w Unii Europejskiej. Porównanie wartości wskaźnika zatrudnienia wskazuje, że Polska </w:t>
      </w:r>
      <w:r w:rsidR="007C3F97" w:rsidRPr="23A1E861">
        <w:rPr>
          <w:rFonts w:ascii="Times New Roman" w:hAnsi="Times New Roman" w:cs="Times New Roman"/>
          <w:sz w:val="24"/>
          <w:szCs w:val="24"/>
        </w:rPr>
        <w:t xml:space="preserve">przegoniła </w:t>
      </w:r>
      <w:r w:rsidRPr="23A1E861">
        <w:rPr>
          <w:rFonts w:ascii="Times New Roman" w:hAnsi="Times New Roman" w:cs="Times New Roman"/>
          <w:sz w:val="24"/>
          <w:szCs w:val="24"/>
        </w:rPr>
        <w:t>kraje UE 2</w:t>
      </w:r>
      <w:r w:rsidR="00433AAB" w:rsidRPr="23A1E861">
        <w:rPr>
          <w:rFonts w:ascii="Times New Roman" w:hAnsi="Times New Roman" w:cs="Times New Roman"/>
          <w:sz w:val="24"/>
          <w:szCs w:val="24"/>
        </w:rPr>
        <w:t>7</w:t>
      </w:r>
      <w:r w:rsidRPr="23A1E861">
        <w:rPr>
          <w:rFonts w:ascii="Times New Roman" w:hAnsi="Times New Roman" w:cs="Times New Roman"/>
          <w:sz w:val="24"/>
          <w:szCs w:val="24"/>
        </w:rPr>
        <w:t>, ze wskaźnikiem zatrudnienia niemal równym przeciętnemu (</w:t>
      </w:r>
      <w:r w:rsidR="004622BA" w:rsidRPr="23A1E861">
        <w:rPr>
          <w:rFonts w:ascii="Times New Roman" w:hAnsi="Times New Roman" w:cs="Times New Roman"/>
          <w:sz w:val="24"/>
          <w:szCs w:val="24"/>
        </w:rPr>
        <w:t>102</w:t>
      </w:r>
      <w:r w:rsidRPr="23A1E861">
        <w:rPr>
          <w:rFonts w:ascii="Times New Roman" w:hAnsi="Times New Roman" w:cs="Times New Roman"/>
          <w:sz w:val="24"/>
          <w:szCs w:val="24"/>
        </w:rPr>
        <w:t xml:space="preserve"> procent średniego poziomu w UE</w:t>
      </w:r>
      <w:r w:rsidR="004622BA" w:rsidRPr="23A1E861">
        <w:rPr>
          <w:rFonts w:ascii="Times New Roman" w:hAnsi="Times New Roman" w:cs="Times New Roman"/>
          <w:sz w:val="24"/>
          <w:szCs w:val="24"/>
        </w:rPr>
        <w:t xml:space="preserve"> </w:t>
      </w:r>
      <w:r w:rsidRPr="23A1E861">
        <w:rPr>
          <w:rFonts w:ascii="Times New Roman" w:hAnsi="Times New Roman" w:cs="Times New Roman"/>
          <w:sz w:val="24"/>
          <w:szCs w:val="24"/>
        </w:rPr>
        <w:t>2</w:t>
      </w:r>
      <w:r w:rsidR="00433AAB" w:rsidRPr="23A1E861">
        <w:rPr>
          <w:rFonts w:ascii="Times New Roman" w:hAnsi="Times New Roman" w:cs="Times New Roman"/>
          <w:sz w:val="24"/>
          <w:szCs w:val="24"/>
        </w:rPr>
        <w:t>7</w:t>
      </w:r>
      <w:r w:rsidR="004622BA" w:rsidRPr="23A1E861">
        <w:rPr>
          <w:rFonts w:ascii="Times New Roman" w:hAnsi="Times New Roman" w:cs="Times New Roman"/>
          <w:sz w:val="24"/>
          <w:szCs w:val="24"/>
        </w:rPr>
        <w:t xml:space="preserve"> w 202</w:t>
      </w:r>
      <w:r w:rsidR="009B2D4F">
        <w:rPr>
          <w:rFonts w:ascii="Times New Roman" w:hAnsi="Times New Roman" w:cs="Times New Roman"/>
          <w:sz w:val="24"/>
          <w:szCs w:val="24"/>
        </w:rPr>
        <w:t>2</w:t>
      </w:r>
      <w:r w:rsidR="004622BA" w:rsidRPr="23A1E861">
        <w:rPr>
          <w:rFonts w:ascii="Times New Roman" w:hAnsi="Times New Roman" w:cs="Times New Roman"/>
          <w:sz w:val="24"/>
          <w:szCs w:val="24"/>
        </w:rPr>
        <w:t xml:space="preserve"> r.</w:t>
      </w:r>
      <w:r w:rsidRPr="23A1E861">
        <w:rPr>
          <w:rFonts w:ascii="Times New Roman" w:hAnsi="Times New Roman" w:cs="Times New Roman"/>
          <w:sz w:val="24"/>
          <w:szCs w:val="24"/>
        </w:rPr>
        <w:t xml:space="preserve">). O ile wskaźnik zatrudnienia w Polsce przez cały okres 2010-2020 był porównywalny do wskaźnika obserwowanego w krajach </w:t>
      </w:r>
      <w:r w:rsidR="00DC2239" w:rsidRPr="23A1E861">
        <w:rPr>
          <w:rFonts w:ascii="Times New Roman" w:hAnsi="Times New Roman" w:cs="Times New Roman"/>
          <w:sz w:val="24"/>
          <w:szCs w:val="24"/>
        </w:rPr>
        <w:t>UE</w:t>
      </w:r>
      <w:r w:rsidRPr="23A1E861">
        <w:rPr>
          <w:rFonts w:ascii="Times New Roman" w:hAnsi="Times New Roman" w:cs="Times New Roman"/>
          <w:sz w:val="24"/>
          <w:szCs w:val="24"/>
        </w:rPr>
        <w:t>, to wyraźnie widać postęp jeżeli chodzi o relację wskaźnika zatrudnienia w Polsce do poziomu obserwowanego w kraj</w:t>
      </w:r>
      <w:r w:rsidR="09C5494F" w:rsidRPr="23A1E861">
        <w:rPr>
          <w:rFonts w:ascii="Times New Roman" w:hAnsi="Times New Roman" w:cs="Times New Roman"/>
          <w:sz w:val="24"/>
          <w:szCs w:val="24"/>
        </w:rPr>
        <w:t>ach</w:t>
      </w:r>
      <w:r w:rsidRPr="23A1E861">
        <w:rPr>
          <w:rFonts w:ascii="Times New Roman" w:hAnsi="Times New Roman" w:cs="Times New Roman"/>
          <w:sz w:val="24"/>
          <w:szCs w:val="24"/>
        </w:rPr>
        <w:t xml:space="preserve"> UE</w:t>
      </w:r>
      <w:r w:rsidR="00433AAB" w:rsidRPr="23A1E861">
        <w:rPr>
          <w:rFonts w:ascii="Times New Roman" w:hAnsi="Times New Roman" w:cs="Times New Roman"/>
          <w:sz w:val="24"/>
          <w:szCs w:val="24"/>
        </w:rPr>
        <w:t xml:space="preserve"> </w:t>
      </w:r>
      <w:r w:rsidRPr="23A1E861">
        <w:rPr>
          <w:rFonts w:ascii="Times New Roman" w:hAnsi="Times New Roman" w:cs="Times New Roman"/>
          <w:sz w:val="24"/>
          <w:szCs w:val="24"/>
        </w:rPr>
        <w:t>1</w:t>
      </w:r>
      <w:r w:rsidR="00433AAB" w:rsidRPr="23A1E861">
        <w:rPr>
          <w:rFonts w:ascii="Times New Roman" w:hAnsi="Times New Roman" w:cs="Times New Roman"/>
          <w:sz w:val="24"/>
          <w:szCs w:val="24"/>
        </w:rPr>
        <w:t>4</w:t>
      </w:r>
      <w:r w:rsidRPr="23A1E861">
        <w:rPr>
          <w:rFonts w:ascii="Times New Roman" w:hAnsi="Times New Roman" w:cs="Times New Roman"/>
          <w:sz w:val="24"/>
          <w:szCs w:val="24"/>
        </w:rPr>
        <w:t xml:space="preserve">. </w:t>
      </w:r>
      <w:r w:rsidR="00057233" w:rsidRPr="23A1E861">
        <w:rPr>
          <w:rFonts w:ascii="Times New Roman" w:hAnsi="Times New Roman" w:cs="Times New Roman"/>
          <w:sz w:val="24"/>
          <w:szCs w:val="24"/>
        </w:rPr>
        <w:t>Od 2010 do 202</w:t>
      </w:r>
      <w:r w:rsidR="009B2D4F">
        <w:rPr>
          <w:rFonts w:ascii="Times New Roman" w:hAnsi="Times New Roman" w:cs="Times New Roman"/>
          <w:sz w:val="24"/>
          <w:szCs w:val="24"/>
        </w:rPr>
        <w:t>2</w:t>
      </w:r>
      <w:r w:rsidR="00057233" w:rsidRPr="23A1E861">
        <w:rPr>
          <w:rFonts w:ascii="Times New Roman" w:hAnsi="Times New Roman" w:cs="Times New Roman"/>
          <w:sz w:val="24"/>
          <w:szCs w:val="24"/>
        </w:rPr>
        <w:t xml:space="preserve"> r. </w:t>
      </w:r>
      <w:r w:rsidRPr="23A1E861">
        <w:rPr>
          <w:rFonts w:ascii="Times New Roman" w:hAnsi="Times New Roman" w:cs="Times New Roman"/>
          <w:sz w:val="24"/>
          <w:szCs w:val="24"/>
        </w:rPr>
        <w:t>Polska poprawiła swoją pozycję o 1</w:t>
      </w:r>
      <w:r w:rsidR="00057233" w:rsidRPr="23A1E861">
        <w:rPr>
          <w:rFonts w:ascii="Times New Roman" w:hAnsi="Times New Roman" w:cs="Times New Roman"/>
          <w:sz w:val="24"/>
          <w:szCs w:val="24"/>
        </w:rPr>
        <w:t>3</w:t>
      </w:r>
      <w:r w:rsidRPr="23A1E861">
        <w:rPr>
          <w:rFonts w:ascii="Times New Roman" w:hAnsi="Times New Roman" w:cs="Times New Roman"/>
          <w:sz w:val="24"/>
          <w:szCs w:val="24"/>
        </w:rPr>
        <w:t xml:space="preserve"> punktów procentowych (z </w:t>
      </w:r>
      <w:r w:rsidR="00057233" w:rsidRPr="23A1E861">
        <w:rPr>
          <w:rFonts w:ascii="Times New Roman" w:hAnsi="Times New Roman" w:cs="Times New Roman"/>
          <w:sz w:val="24"/>
          <w:szCs w:val="24"/>
        </w:rPr>
        <w:t>90</w:t>
      </w:r>
      <w:r w:rsidRPr="23A1E861">
        <w:rPr>
          <w:rFonts w:ascii="Times New Roman" w:hAnsi="Times New Roman" w:cs="Times New Roman"/>
          <w:sz w:val="24"/>
          <w:szCs w:val="24"/>
        </w:rPr>
        <w:t xml:space="preserve"> do </w:t>
      </w:r>
      <w:r w:rsidR="00057233" w:rsidRPr="23A1E861">
        <w:rPr>
          <w:rFonts w:ascii="Times New Roman" w:hAnsi="Times New Roman" w:cs="Times New Roman"/>
          <w:sz w:val="24"/>
          <w:szCs w:val="24"/>
        </w:rPr>
        <w:t>103</w:t>
      </w:r>
      <w:r w:rsidRPr="23A1E861">
        <w:rPr>
          <w:rFonts w:ascii="Times New Roman" w:hAnsi="Times New Roman" w:cs="Times New Roman"/>
          <w:sz w:val="24"/>
          <w:szCs w:val="24"/>
        </w:rPr>
        <w:t xml:space="preserve"> procent średniego wskaźnika zatrudnienia w </w:t>
      </w:r>
      <w:r w:rsidR="00433AAB" w:rsidRPr="23A1E861">
        <w:rPr>
          <w:rFonts w:ascii="Times New Roman" w:hAnsi="Times New Roman" w:cs="Times New Roman"/>
          <w:sz w:val="24"/>
          <w:szCs w:val="24"/>
        </w:rPr>
        <w:t>tej grupie krajów</w:t>
      </w:r>
      <w:r w:rsidRPr="23A1E861">
        <w:rPr>
          <w:rFonts w:ascii="Times New Roman" w:hAnsi="Times New Roman" w:cs="Times New Roman"/>
          <w:sz w:val="24"/>
          <w:szCs w:val="24"/>
        </w:rPr>
        <w:t xml:space="preserve">). </w:t>
      </w:r>
    </w:p>
    <w:p w14:paraId="4C852FB8" w14:textId="4328CABB" w:rsidR="00392B71" w:rsidRPr="00B824AA" w:rsidRDefault="00392B71" w:rsidP="00392B71">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Drugi wskaźnik cząstkowy w </w:t>
      </w:r>
      <w:r w:rsidR="005D5D61">
        <w:rPr>
          <w:rFonts w:ascii="Times New Roman" w:hAnsi="Times New Roman" w:cs="Times New Roman"/>
          <w:sz w:val="24"/>
          <w:szCs w:val="24"/>
        </w:rPr>
        <w:t>wymiarze</w:t>
      </w:r>
      <w:r w:rsidRPr="00B824AA">
        <w:rPr>
          <w:rFonts w:ascii="Times New Roman" w:hAnsi="Times New Roman" w:cs="Times New Roman"/>
          <w:sz w:val="24"/>
          <w:szCs w:val="24"/>
        </w:rPr>
        <w:t xml:space="preserve"> rynku pracy to mediana płac mierzona parytetem siły nabywczej, co zapewnia porównywalność wysokości wynagrodzeń. Jest to wskaźnik, który pozwala na porównanie zarobków osiąganych w krajach UE przy uwzględnieniu różnic w</w:t>
      </w:r>
      <w:r w:rsidR="009B2D4F">
        <w:rPr>
          <w:rFonts w:ascii="Times New Roman" w:hAnsi="Times New Roman" w:cs="Times New Roman"/>
          <w:sz w:val="24"/>
          <w:szCs w:val="24"/>
        </w:rPr>
        <w:t> </w:t>
      </w:r>
      <w:r w:rsidRPr="00B824AA">
        <w:rPr>
          <w:rFonts w:ascii="Times New Roman" w:hAnsi="Times New Roman" w:cs="Times New Roman"/>
          <w:sz w:val="24"/>
          <w:szCs w:val="24"/>
        </w:rPr>
        <w:t xml:space="preserve">kosztach życia. W przypadku tego wskaźnika również obserwujemy poprawę w Polsce. </w:t>
      </w:r>
      <w:r w:rsidRPr="00B824AA">
        <w:rPr>
          <w:rFonts w:ascii="Times New Roman" w:hAnsi="Times New Roman" w:cs="Times New Roman"/>
          <w:sz w:val="24"/>
          <w:szCs w:val="24"/>
        </w:rPr>
        <w:lastRenderedPageBreak/>
        <w:t>Mediana płac w Polsce w 202</w:t>
      </w:r>
      <w:r w:rsidR="005D5D61">
        <w:rPr>
          <w:rFonts w:ascii="Times New Roman" w:hAnsi="Times New Roman" w:cs="Times New Roman"/>
          <w:sz w:val="24"/>
          <w:szCs w:val="24"/>
        </w:rPr>
        <w:t>0</w:t>
      </w:r>
      <w:r w:rsidRPr="00B824AA">
        <w:rPr>
          <w:rFonts w:ascii="Times New Roman" w:hAnsi="Times New Roman" w:cs="Times New Roman"/>
          <w:sz w:val="24"/>
          <w:szCs w:val="24"/>
        </w:rPr>
        <w:t xml:space="preserve"> r. wyniosła </w:t>
      </w:r>
      <w:r w:rsidR="005D5D61">
        <w:rPr>
          <w:rFonts w:ascii="Times New Roman" w:hAnsi="Times New Roman" w:cs="Times New Roman"/>
          <w:sz w:val="24"/>
          <w:szCs w:val="24"/>
        </w:rPr>
        <w:t>70</w:t>
      </w:r>
      <w:r w:rsidRPr="00B824AA">
        <w:rPr>
          <w:rFonts w:ascii="Times New Roman" w:hAnsi="Times New Roman" w:cs="Times New Roman"/>
          <w:sz w:val="24"/>
          <w:szCs w:val="24"/>
        </w:rPr>
        <w:t xml:space="preserve"> procent poziomu UE 2</w:t>
      </w:r>
      <w:r w:rsidR="005D5D61">
        <w:rPr>
          <w:rFonts w:ascii="Times New Roman" w:hAnsi="Times New Roman" w:cs="Times New Roman"/>
          <w:sz w:val="24"/>
          <w:szCs w:val="24"/>
        </w:rPr>
        <w:t>7</w:t>
      </w:r>
      <w:r w:rsidRPr="00B824AA">
        <w:rPr>
          <w:rFonts w:ascii="Times New Roman" w:hAnsi="Times New Roman" w:cs="Times New Roman"/>
          <w:sz w:val="24"/>
          <w:szCs w:val="24"/>
        </w:rPr>
        <w:t>, co oznacza wzrost o 8 punktów procentowych w ciągu dekady. Płace w Polsce są poniżej wartości obserwowanych w krajach UE</w:t>
      </w:r>
      <w:r w:rsidR="00433AAB" w:rsidRPr="00B824AA">
        <w:rPr>
          <w:rFonts w:ascii="Times New Roman" w:hAnsi="Times New Roman" w:cs="Times New Roman"/>
          <w:sz w:val="24"/>
          <w:szCs w:val="24"/>
        </w:rPr>
        <w:t xml:space="preserve"> </w:t>
      </w:r>
      <w:r w:rsidRPr="00B824AA">
        <w:rPr>
          <w:rFonts w:ascii="Times New Roman" w:hAnsi="Times New Roman" w:cs="Times New Roman"/>
          <w:sz w:val="24"/>
          <w:szCs w:val="24"/>
        </w:rPr>
        <w:t>1</w:t>
      </w:r>
      <w:r w:rsidR="00433AAB" w:rsidRPr="00B824AA">
        <w:rPr>
          <w:rFonts w:ascii="Times New Roman" w:hAnsi="Times New Roman" w:cs="Times New Roman"/>
          <w:sz w:val="24"/>
          <w:szCs w:val="24"/>
        </w:rPr>
        <w:t>4</w:t>
      </w:r>
      <w:r w:rsidRPr="00B824AA">
        <w:rPr>
          <w:rFonts w:ascii="Times New Roman" w:hAnsi="Times New Roman" w:cs="Times New Roman"/>
          <w:sz w:val="24"/>
          <w:szCs w:val="24"/>
        </w:rPr>
        <w:t xml:space="preserve"> (63 procent w 2020), chociaż widać konwergencję tych wartości. W porównaniu do krajów UE </w:t>
      </w:r>
      <w:r w:rsidR="00433AAB" w:rsidRPr="00B824AA">
        <w:rPr>
          <w:rFonts w:ascii="Times New Roman" w:hAnsi="Times New Roman" w:cs="Times New Roman"/>
          <w:sz w:val="24"/>
          <w:szCs w:val="24"/>
        </w:rPr>
        <w:t xml:space="preserve">13 </w:t>
      </w:r>
      <w:r w:rsidRPr="00B824AA">
        <w:rPr>
          <w:rFonts w:ascii="Times New Roman" w:hAnsi="Times New Roman" w:cs="Times New Roman"/>
          <w:sz w:val="24"/>
          <w:szCs w:val="24"/>
        </w:rPr>
        <w:t xml:space="preserve">płace w Polsce są wyższe (111 procent w 2020 r.), chociaż warto zauważyć, że w 2010 i 2015 r. relacja ta była jeszcze bardziej korzystna dla Polski. Oznacza to, że </w:t>
      </w:r>
      <w:r w:rsidR="00433AAB" w:rsidRPr="00B824AA">
        <w:rPr>
          <w:rFonts w:ascii="Times New Roman" w:hAnsi="Times New Roman" w:cs="Times New Roman"/>
          <w:sz w:val="24"/>
          <w:szCs w:val="24"/>
        </w:rPr>
        <w:t>przeciętnie</w:t>
      </w:r>
      <w:r w:rsidRPr="00B824AA">
        <w:rPr>
          <w:rFonts w:ascii="Times New Roman" w:hAnsi="Times New Roman" w:cs="Times New Roman"/>
          <w:sz w:val="24"/>
          <w:szCs w:val="24"/>
        </w:rPr>
        <w:t xml:space="preserve"> kraje </w:t>
      </w:r>
      <w:r w:rsidR="00433AAB" w:rsidRPr="00B824AA">
        <w:rPr>
          <w:rFonts w:ascii="Times New Roman" w:hAnsi="Times New Roman" w:cs="Times New Roman"/>
          <w:sz w:val="24"/>
          <w:szCs w:val="24"/>
        </w:rPr>
        <w:t xml:space="preserve">które wstąpiły do UE razem z Polską lub później </w:t>
      </w:r>
      <w:r w:rsidR="00796096" w:rsidRPr="00B824AA">
        <w:rPr>
          <w:rFonts w:ascii="Times New Roman" w:hAnsi="Times New Roman" w:cs="Times New Roman"/>
          <w:sz w:val="24"/>
          <w:szCs w:val="24"/>
        </w:rPr>
        <w:t>„do</w:t>
      </w:r>
      <w:r w:rsidRPr="00B824AA">
        <w:rPr>
          <w:rFonts w:ascii="Times New Roman" w:hAnsi="Times New Roman" w:cs="Times New Roman"/>
          <w:sz w:val="24"/>
          <w:szCs w:val="24"/>
        </w:rPr>
        <w:t>ganiają” Polskę w</w:t>
      </w:r>
      <w:r w:rsidR="005D5D61">
        <w:rPr>
          <w:rFonts w:ascii="Times New Roman" w:hAnsi="Times New Roman" w:cs="Times New Roman"/>
          <w:sz w:val="24"/>
          <w:szCs w:val="24"/>
        </w:rPr>
        <w:t> </w:t>
      </w:r>
      <w:r w:rsidRPr="00B824AA">
        <w:rPr>
          <w:rFonts w:ascii="Times New Roman" w:hAnsi="Times New Roman" w:cs="Times New Roman"/>
          <w:sz w:val="24"/>
          <w:szCs w:val="24"/>
        </w:rPr>
        <w:t xml:space="preserve">poziomie zarobków. </w:t>
      </w:r>
    </w:p>
    <w:p w14:paraId="2C8486E1" w14:textId="550C44EF" w:rsidR="00392B71" w:rsidRPr="00B824AA" w:rsidRDefault="00392B71" w:rsidP="00B51E7A">
      <w:pPr>
        <w:tabs>
          <w:tab w:val="left" w:pos="3402"/>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Trzeci wskaźnik cząstkowy w </w:t>
      </w:r>
      <w:r w:rsidR="005D5D61">
        <w:rPr>
          <w:rFonts w:ascii="Times New Roman" w:hAnsi="Times New Roman" w:cs="Times New Roman"/>
          <w:sz w:val="24"/>
          <w:szCs w:val="24"/>
        </w:rPr>
        <w:t>wymiarze</w:t>
      </w:r>
      <w:r w:rsidRPr="00B824AA">
        <w:rPr>
          <w:rFonts w:ascii="Times New Roman" w:hAnsi="Times New Roman" w:cs="Times New Roman"/>
          <w:sz w:val="24"/>
          <w:szCs w:val="24"/>
        </w:rPr>
        <w:t xml:space="preserve"> rynku pracy to wskaźnik równości płci. Wskaźnik ten opracowywany jest przez Europejski Instytut ds. Równości Płci (</w:t>
      </w:r>
      <w:r w:rsidRPr="00B824AA">
        <w:rPr>
          <w:rFonts w:ascii="Times New Roman" w:hAnsi="Times New Roman" w:cs="Times New Roman"/>
          <w:i/>
          <w:iCs/>
          <w:sz w:val="24"/>
          <w:szCs w:val="24"/>
        </w:rPr>
        <w:t xml:space="preserve">EIGE, </w:t>
      </w:r>
      <w:proofErr w:type="spellStart"/>
      <w:r w:rsidRPr="00B824AA">
        <w:rPr>
          <w:rFonts w:ascii="Times New Roman" w:hAnsi="Times New Roman" w:cs="Times New Roman"/>
          <w:i/>
          <w:iCs/>
          <w:sz w:val="24"/>
          <w:szCs w:val="24"/>
        </w:rPr>
        <w:t>European</w:t>
      </w:r>
      <w:proofErr w:type="spellEnd"/>
      <w:r w:rsidRPr="00B824AA">
        <w:rPr>
          <w:rFonts w:ascii="Times New Roman" w:hAnsi="Times New Roman" w:cs="Times New Roman"/>
          <w:i/>
          <w:iCs/>
          <w:sz w:val="24"/>
          <w:szCs w:val="24"/>
        </w:rPr>
        <w:t xml:space="preserve"> </w:t>
      </w:r>
      <w:proofErr w:type="spellStart"/>
      <w:r w:rsidRPr="00B824AA">
        <w:rPr>
          <w:rFonts w:ascii="Times New Roman" w:hAnsi="Times New Roman" w:cs="Times New Roman"/>
          <w:i/>
          <w:iCs/>
          <w:sz w:val="24"/>
          <w:szCs w:val="24"/>
        </w:rPr>
        <w:t>Institute</w:t>
      </w:r>
      <w:proofErr w:type="spellEnd"/>
      <w:r w:rsidRPr="00B824AA">
        <w:rPr>
          <w:rFonts w:ascii="Times New Roman" w:hAnsi="Times New Roman" w:cs="Times New Roman"/>
          <w:i/>
          <w:iCs/>
          <w:sz w:val="24"/>
          <w:szCs w:val="24"/>
        </w:rPr>
        <w:t xml:space="preserve"> for </w:t>
      </w:r>
      <w:proofErr w:type="spellStart"/>
      <w:r w:rsidRPr="00B824AA">
        <w:rPr>
          <w:rFonts w:ascii="Times New Roman" w:hAnsi="Times New Roman" w:cs="Times New Roman"/>
          <w:i/>
          <w:iCs/>
          <w:sz w:val="24"/>
          <w:szCs w:val="24"/>
        </w:rPr>
        <w:t>Gender</w:t>
      </w:r>
      <w:proofErr w:type="spellEnd"/>
      <w:r w:rsidRPr="00B824AA">
        <w:rPr>
          <w:rFonts w:ascii="Times New Roman" w:hAnsi="Times New Roman" w:cs="Times New Roman"/>
          <w:i/>
          <w:iCs/>
          <w:sz w:val="24"/>
          <w:szCs w:val="24"/>
        </w:rPr>
        <w:t xml:space="preserve"> </w:t>
      </w:r>
      <w:proofErr w:type="spellStart"/>
      <w:r w:rsidRPr="00B824AA">
        <w:rPr>
          <w:rFonts w:ascii="Times New Roman" w:hAnsi="Times New Roman" w:cs="Times New Roman"/>
          <w:i/>
          <w:iCs/>
          <w:sz w:val="24"/>
          <w:szCs w:val="24"/>
        </w:rPr>
        <w:t>Equality</w:t>
      </w:r>
      <w:proofErr w:type="spellEnd"/>
      <w:r w:rsidRPr="00B824AA">
        <w:rPr>
          <w:rFonts w:ascii="Times New Roman" w:hAnsi="Times New Roman" w:cs="Times New Roman"/>
          <w:sz w:val="24"/>
          <w:szCs w:val="24"/>
        </w:rPr>
        <w:t>). Mierzy on różnice między kobietami a mężczyznami w sześciu kluczowych dziedzinach: praca, pieniądze, wiedza, czas, władza i zdrowie oraz ich poddziedzinach. Wskaźnik uwzględnia również przemoc wobec kobiet i nierówności w przecięciu tych wymiarów, gdzie uwzględnia się wpływ takich czynników jak niepełnosprawność, wiek, poziom wykształcenia, państwo urodzenia i typ rodziny w skojarzeniu z płcią na kształtowanie się życiowej drogi kobiet i mężczyzn. Wynik na poziomie 100 punktów wskazywałby, że dany kraj osiągnął pełne równouprawnienie płci. W Polsce relacja tego wskaźnika do krajów UE 2</w:t>
      </w:r>
      <w:r w:rsidR="00796096" w:rsidRPr="00B824AA">
        <w:rPr>
          <w:rFonts w:ascii="Times New Roman" w:hAnsi="Times New Roman" w:cs="Times New Roman"/>
          <w:sz w:val="24"/>
          <w:szCs w:val="24"/>
        </w:rPr>
        <w:t>7</w:t>
      </w:r>
      <w:r w:rsidRPr="00B824AA">
        <w:rPr>
          <w:rFonts w:ascii="Times New Roman" w:hAnsi="Times New Roman" w:cs="Times New Roman"/>
          <w:sz w:val="24"/>
          <w:szCs w:val="24"/>
        </w:rPr>
        <w:t xml:space="preserve"> spadła z 91 procent w 2010 do 84 procent w 2020 r, co oznacza, że sytuacja Polski pod względem równości płci pogarsza się. Pogorszenie to widoczne jest zarówno w odniesieniu do krajów </w:t>
      </w:r>
      <w:r w:rsidR="00796096" w:rsidRPr="00B824AA">
        <w:rPr>
          <w:rFonts w:ascii="Times New Roman" w:hAnsi="Times New Roman" w:cs="Times New Roman"/>
          <w:sz w:val="24"/>
          <w:szCs w:val="24"/>
        </w:rPr>
        <w:t>UE 14 jak i UE 13</w:t>
      </w:r>
      <w:r w:rsidRPr="00B824AA">
        <w:rPr>
          <w:rFonts w:ascii="Times New Roman" w:hAnsi="Times New Roman" w:cs="Times New Roman"/>
          <w:sz w:val="24"/>
          <w:szCs w:val="24"/>
        </w:rPr>
        <w:t xml:space="preserve">. </w:t>
      </w:r>
      <w:r w:rsidR="00B51E7A">
        <w:rPr>
          <w:rFonts w:ascii="Times New Roman" w:hAnsi="Times New Roman" w:cs="Times New Roman"/>
          <w:sz w:val="24"/>
          <w:szCs w:val="24"/>
        </w:rPr>
        <w:t xml:space="preserve">W 2021 r. sytuacja w zakresie równości płci w Polsce poprawiła się. </w:t>
      </w:r>
      <w:r w:rsidRPr="00B824AA">
        <w:rPr>
          <w:rFonts w:ascii="Times New Roman" w:hAnsi="Times New Roman" w:cs="Times New Roman"/>
          <w:sz w:val="24"/>
          <w:szCs w:val="24"/>
        </w:rPr>
        <w:t xml:space="preserve">Jednocześnie warto podkreślić, że sytuacja w Polsce w zakresie równości płci jest zbliżona do krajów </w:t>
      </w:r>
      <w:r w:rsidR="00587470">
        <w:rPr>
          <w:rFonts w:ascii="Times New Roman" w:hAnsi="Times New Roman" w:cs="Times New Roman"/>
          <w:sz w:val="24"/>
          <w:szCs w:val="24"/>
        </w:rPr>
        <w:t>UE 13</w:t>
      </w:r>
      <w:r w:rsidRPr="00B824AA">
        <w:rPr>
          <w:rFonts w:ascii="Times New Roman" w:hAnsi="Times New Roman" w:cs="Times New Roman"/>
          <w:sz w:val="24"/>
          <w:szCs w:val="24"/>
        </w:rPr>
        <w:t xml:space="preserve">, ale gorsza niż w krajach </w:t>
      </w:r>
      <w:r w:rsidR="00587470">
        <w:rPr>
          <w:rFonts w:ascii="Times New Roman" w:hAnsi="Times New Roman" w:cs="Times New Roman"/>
          <w:sz w:val="24"/>
          <w:szCs w:val="24"/>
        </w:rPr>
        <w:t>UE 14.</w:t>
      </w:r>
      <w:r w:rsidRPr="00B824AA">
        <w:rPr>
          <w:rFonts w:ascii="Times New Roman" w:hAnsi="Times New Roman" w:cs="Times New Roman"/>
          <w:sz w:val="24"/>
          <w:szCs w:val="24"/>
        </w:rPr>
        <w:t xml:space="preserve"> W 202</w:t>
      </w:r>
      <w:r w:rsidR="00B51E7A">
        <w:rPr>
          <w:rFonts w:ascii="Times New Roman" w:hAnsi="Times New Roman" w:cs="Times New Roman"/>
          <w:sz w:val="24"/>
          <w:szCs w:val="24"/>
        </w:rPr>
        <w:t>1</w:t>
      </w:r>
      <w:r w:rsidRPr="00B824AA">
        <w:rPr>
          <w:rFonts w:ascii="Times New Roman" w:hAnsi="Times New Roman" w:cs="Times New Roman"/>
          <w:sz w:val="24"/>
          <w:szCs w:val="24"/>
        </w:rPr>
        <w:t xml:space="preserve"> r. wskaźnik ten dla Polski był o </w:t>
      </w:r>
      <w:r w:rsidR="00B51E7A">
        <w:rPr>
          <w:rFonts w:ascii="Times New Roman" w:hAnsi="Times New Roman" w:cs="Times New Roman"/>
          <w:sz w:val="24"/>
          <w:szCs w:val="24"/>
        </w:rPr>
        <w:t>15 </w:t>
      </w:r>
      <w:r w:rsidRPr="00B824AA">
        <w:rPr>
          <w:rFonts w:ascii="Times New Roman" w:hAnsi="Times New Roman" w:cs="Times New Roman"/>
          <w:sz w:val="24"/>
          <w:szCs w:val="24"/>
        </w:rPr>
        <w:t xml:space="preserve">procent niższy niż w tej grupie krajów. </w:t>
      </w:r>
    </w:p>
    <w:p w14:paraId="733721D4" w14:textId="627C55B4" w:rsidR="00392B71" w:rsidRDefault="00392B71" w:rsidP="00392B71">
      <w:pPr>
        <w:spacing w:line="360" w:lineRule="auto"/>
        <w:jc w:val="both"/>
        <w:rPr>
          <w:rFonts w:ascii="Times New Roman" w:hAnsi="Times New Roman" w:cs="Times New Roman"/>
          <w:sz w:val="24"/>
          <w:szCs w:val="24"/>
        </w:rPr>
      </w:pPr>
      <w:r w:rsidRPr="23A1E861">
        <w:rPr>
          <w:rFonts w:ascii="Times New Roman" w:hAnsi="Times New Roman" w:cs="Times New Roman"/>
          <w:sz w:val="24"/>
          <w:szCs w:val="24"/>
        </w:rPr>
        <w:t>Czwarty wskaźnik cząstkowy odnosi się do stabilności zatrudnienia i mierzy udział osób zatrudnionych na czas nieokreślony wśród wszystkich osób zatrudnionyc</w:t>
      </w:r>
      <w:r w:rsidR="00433AAB" w:rsidRPr="23A1E861">
        <w:rPr>
          <w:rFonts w:ascii="Times New Roman" w:hAnsi="Times New Roman" w:cs="Times New Roman"/>
          <w:sz w:val="24"/>
          <w:szCs w:val="24"/>
        </w:rPr>
        <w:t>h</w:t>
      </w:r>
      <w:r w:rsidRPr="23A1E861">
        <w:rPr>
          <w:rFonts w:ascii="Times New Roman" w:hAnsi="Times New Roman" w:cs="Times New Roman"/>
          <w:sz w:val="24"/>
          <w:szCs w:val="24"/>
        </w:rPr>
        <w:t xml:space="preserve">. W przypadku tego wskaźnika sytuacja w Polsce jest relatywnie najgorsza w porównaniu do </w:t>
      </w:r>
      <w:r w:rsidR="00675996" w:rsidRPr="23A1E861">
        <w:rPr>
          <w:rFonts w:ascii="Times New Roman" w:hAnsi="Times New Roman" w:cs="Times New Roman"/>
          <w:sz w:val="24"/>
          <w:szCs w:val="24"/>
        </w:rPr>
        <w:t>wszystkich tr</w:t>
      </w:r>
      <w:r w:rsidR="00DC7006" w:rsidRPr="23A1E861">
        <w:rPr>
          <w:rFonts w:ascii="Times New Roman" w:hAnsi="Times New Roman" w:cs="Times New Roman"/>
          <w:sz w:val="24"/>
          <w:szCs w:val="24"/>
        </w:rPr>
        <w:t>z</w:t>
      </w:r>
      <w:r w:rsidR="00675996" w:rsidRPr="23A1E861">
        <w:rPr>
          <w:rFonts w:ascii="Times New Roman" w:hAnsi="Times New Roman" w:cs="Times New Roman"/>
          <w:sz w:val="24"/>
          <w:szCs w:val="24"/>
        </w:rPr>
        <w:t>ech grup krajów</w:t>
      </w:r>
      <w:r w:rsidRPr="23A1E861">
        <w:rPr>
          <w:rFonts w:ascii="Times New Roman" w:hAnsi="Times New Roman" w:cs="Times New Roman"/>
          <w:sz w:val="24"/>
          <w:szCs w:val="24"/>
        </w:rPr>
        <w:t>. W 202</w:t>
      </w:r>
      <w:r w:rsidR="00DC7006" w:rsidRPr="23A1E861">
        <w:rPr>
          <w:rFonts w:ascii="Times New Roman" w:hAnsi="Times New Roman" w:cs="Times New Roman"/>
          <w:sz w:val="24"/>
          <w:szCs w:val="24"/>
        </w:rPr>
        <w:t>1</w:t>
      </w:r>
      <w:r w:rsidRPr="23A1E861">
        <w:rPr>
          <w:rFonts w:ascii="Times New Roman" w:hAnsi="Times New Roman" w:cs="Times New Roman"/>
          <w:sz w:val="24"/>
          <w:szCs w:val="24"/>
        </w:rPr>
        <w:t xml:space="preserve"> r. wskaźnik ten był na poziomie </w:t>
      </w:r>
      <w:r w:rsidR="00DC7006" w:rsidRPr="23A1E861">
        <w:rPr>
          <w:rFonts w:ascii="Times New Roman" w:hAnsi="Times New Roman" w:cs="Times New Roman"/>
          <w:sz w:val="24"/>
          <w:szCs w:val="24"/>
        </w:rPr>
        <w:t>64</w:t>
      </w:r>
      <w:r w:rsidRPr="23A1E861">
        <w:rPr>
          <w:rFonts w:ascii="Times New Roman" w:hAnsi="Times New Roman" w:cs="Times New Roman"/>
          <w:sz w:val="24"/>
          <w:szCs w:val="24"/>
        </w:rPr>
        <w:t xml:space="preserve"> procent średniej dla UE 2</w:t>
      </w:r>
      <w:r w:rsidR="00675996" w:rsidRPr="23A1E861">
        <w:rPr>
          <w:rFonts w:ascii="Times New Roman" w:hAnsi="Times New Roman" w:cs="Times New Roman"/>
          <w:sz w:val="24"/>
          <w:szCs w:val="24"/>
        </w:rPr>
        <w:t>7</w:t>
      </w:r>
      <w:r w:rsidR="00DC7006" w:rsidRPr="23A1E861">
        <w:rPr>
          <w:rFonts w:ascii="Times New Roman" w:hAnsi="Times New Roman" w:cs="Times New Roman"/>
          <w:sz w:val="24"/>
          <w:szCs w:val="24"/>
        </w:rPr>
        <w:t xml:space="preserve">, co jest poprawą </w:t>
      </w:r>
      <w:r w:rsidR="00517A4E" w:rsidRPr="23A1E861">
        <w:rPr>
          <w:rFonts w:ascii="Times New Roman" w:hAnsi="Times New Roman" w:cs="Times New Roman"/>
          <w:sz w:val="24"/>
          <w:szCs w:val="24"/>
        </w:rPr>
        <w:t xml:space="preserve">o 21 punktów procentowych </w:t>
      </w:r>
      <w:r w:rsidR="00DC7006" w:rsidRPr="23A1E861">
        <w:rPr>
          <w:rFonts w:ascii="Times New Roman" w:hAnsi="Times New Roman" w:cs="Times New Roman"/>
          <w:sz w:val="24"/>
          <w:szCs w:val="24"/>
        </w:rPr>
        <w:t>w porównaniu do 2020 r.</w:t>
      </w:r>
      <w:r w:rsidR="0069470E">
        <w:rPr>
          <w:rFonts w:ascii="Times New Roman" w:hAnsi="Times New Roman" w:cs="Times New Roman"/>
          <w:sz w:val="24"/>
          <w:szCs w:val="24"/>
        </w:rPr>
        <w:t>, ale w 2022 r. spadł o 2 punkty procentowe.</w:t>
      </w:r>
      <w:r w:rsidRPr="23A1E861">
        <w:rPr>
          <w:rFonts w:ascii="Times New Roman" w:hAnsi="Times New Roman" w:cs="Times New Roman"/>
          <w:sz w:val="24"/>
          <w:szCs w:val="24"/>
        </w:rPr>
        <w:t xml:space="preserve"> Warto podkreślić, że </w:t>
      </w:r>
      <w:r w:rsidR="00EB578B" w:rsidRPr="23A1E861">
        <w:rPr>
          <w:rFonts w:ascii="Times New Roman" w:hAnsi="Times New Roman" w:cs="Times New Roman"/>
          <w:sz w:val="24"/>
          <w:szCs w:val="24"/>
        </w:rPr>
        <w:t xml:space="preserve">wskaźnik </w:t>
      </w:r>
      <w:proofErr w:type="spellStart"/>
      <w:r w:rsidR="009B2D4F">
        <w:rPr>
          <w:rFonts w:ascii="Times New Roman" w:hAnsi="Times New Roman" w:cs="Times New Roman"/>
          <w:i/>
          <w:iCs/>
          <w:sz w:val="24"/>
          <w:szCs w:val="24"/>
        </w:rPr>
        <w:t>catch-up</w:t>
      </w:r>
      <w:proofErr w:type="spellEnd"/>
      <w:r w:rsidR="00EB578B" w:rsidRPr="23A1E861">
        <w:rPr>
          <w:rFonts w:ascii="Times New Roman" w:hAnsi="Times New Roman" w:cs="Times New Roman"/>
          <w:sz w:val="24"/>
          <w:szCs w:val="24"/>
        </w:rPr>
        <w:t xml:space="preserve"> dla stabilności zatrudnienia wzrósł ponad dwukrotnie </w:t>
      </w:r>
      <w:r w:rsidRPr="23A1E861">
        <w:rPr>
          <w:rFonts w:ascii="Times New Roman" w:hAnsi="Times New Roman" w:cs="Times New Roman"/>
          <w:sz w:val="24"/>
          <w:szCs w:val="24"/>
        </w:rPr>
        <w:t xml:space="preserve">w porównaniu do 2010 r. Warto podkreślić, że stabilność zatrudnienia jest znacznie wyższa w krajach </w:t>
      </w:r>
      <w:r w:rsidR="00433AAB" w:rsidRPr="23A1E861">
        <w:rPr>
          <w:rFonts w:ascii="Times New Roman" w:hAnsi="Times New Roman" w:cs="Times New Roman"/>
          <w:sz w:val="24"/>
          <w:szCs w:val="24"/>
        </w:rPr>
        <w:t xml:space="preserve">UE 13 </w:t>
      </w:r>
      <w:r w:rsidRPr="23A1E861">
        <w:rPr>
          <w:rFonts w:ascii="Times New Roman" w:hAnsi="Times New Roman" w:cs="Times New Roman"/>
          <w:sz w:val="24"/>
          <w:szCs w:val="24"/>
        </w:rPr>
        <w:t>niż w Polsce, a</w:t>
      </w:r>
      <w:r w:rsidR="00DD4C32">
        <w:rPr>
          <w:rFonts w:ascii="Times New Roman" w:hAnsi="Times New Roman" w:cs="Times New Roman"/>
          <w:sz w:val="24"/>
          <w:szCs w:val="24"/>
        </w:rPr>
        <w:t> </w:t>
      </w:r>
      <w:r w:rsidRPr="23A1E861">
        <w:rPr>
          <w:rFonts w:ascii="Times New Roman" w:hAnsi="Times New Roman" w:cs="Times New Roman"/>
          <w:sz w:val="24"/>
          <w:szCs w:val="24"/>
        </w:rPr>
        <w:t xml:space="preserve">luka wynosi </w:t>
      </w:r>
      <w:r w:rsidR="00EB578B" w:rsidRPr="23A1E861">
        <w:rPr>
          <w:rFonts w:ascii="Times New Roman" w:hAnsi="Times New Roman" w:cs="Times New Roman"/>
          <w:sz w:val="24"/>
          <w:szCs w:val="24"/>
        </w:rPr>
        <w:t>67</w:t>
      </w:r>
      <w:r w:rsidRPr="23A1E861">
        <w:rPr>
          <w:rFonts w:ascii="Times New Roman" w:hAnsi="Times New Roman" w:cs="Times New Roman"/>
          <w:sz w:val="24"/>
          <w:szCs w:val="24"/>
        </w:rPr>
        <w:t xml:space="preserve"> punktów procentowych. Gorsza sytuacja Polski w porównaniu do innych</w:t>
      </w:r>
      <w:r w:rsidR="00DD4C32">
        <w:rPr>
          <w:rFonts w:ascii="Times New Roman" w:hAnsi="Times New Roman" w:cs="Times New Roman"/>
          <w:sz w:val="24"/>
          <w:szCs w:val="24"/>
        </w:rPr>
        <w:t xml:space="preserve"> </w:t>
      </w:r>
      <w:r w:rsidRPr="23A1E861">
        <w:rPr>
          <w:rFonts w:ascii="Times New Roman" w:hAnsi="Times New Roman" w:cs="Times New Roman"/>
          <w:sz w:val="24"/>
          <w:szCs w:val="24"/>
        </w:rPr>
        <w:t xml:space="preserve">krajów wynika z utrzymującego się dużego udziału osób, które posiadają umowy na czas określony, w porównaniu do innych krajów </w:t>
      </w:r>
      <w:r w:rsidR="00433AAB" w:rsidRPr="23A1E861">
        <w:rPr>
          <w:rFonts w:ascii="Times New Roman" w:hAnsi="Times New Roman" w:cs="Times New Roman"/>
          <w:sz w:val="24"/>
          <w:szCs w:val="24"/>
        </w:rPr>
        <w:t>UE</w:t>
      </w:r>
      <w:r w:rsidRPr="23A1E861">
        <w:rPr>
          <w:rFonts w:ascii="Times New Roman" w:hAnsi="Times New Roman" w:cs="Times New Roman"/>
          <w:sz w:val="24"/>
          <w:szCs w:val="24"/>
        </w:rPr>
        <w:t>.</w:t>
      </w:r>
      <w:r w:rsidR="00D766F6">
        <w:rPr>
          <w:rFonts w:ascii="Times New Roman" w:hAnsi="Times New Roman" w:cs="Times New Roman"/>
          <w:sz w:val="24"/>
          <w:szCs w:val="24"/>
        </w:rPr>
        <w:t xml:space="preserve"> </w:t>
      </w:r>
    </w:p>
    <w:p w14:paraId="336FA887" w14:textId="77777777" w:rsidR="00C266E2" w:rsidRDefault="00C266E2" w:rsidP="00392B71">
      <w:pPr>
        <w:spacing w:line="360" w:lineRule="auto"/>
        <w:jc w:val="both"/>
        <w:rPr>
          <w:rFonts w:ascii="Times New Roman" w:hAnsi="Times New Roman" w:cs="Times New Roman"/>
          <w:sz w:val="24"/>
          <w:szCs w:val="24"/>
        </w:rPr>
      </w:pPr>
    </w:p>
    <w:p w14:paraId="665F858E" w14:textId="27EF8006" w:rsidR="00392B71" w:rsidRPr="00B824AA" w:rsidDel="006430B4" w:rsidRDefault="009B1C4F" w:rsidP="009B1C4F">
      <w:pPr>
        <w:pStyle w:val="Caption"/>
        <w:rPr>
          <w:rFonts w:ascii="Times New Roman" w:hAnsi="Times New Roman" w:cs="Times New Roman"/>
          <w:sz w:val="22"/>
          <w:szCs w:val="22"/>
        </w:rPr>
      </w:pPr>
      <w:r w:rsidRPr="00B824AA">
        <w:rPr>
          <w:rFonts w:ascii="Times New Roman" w:hAnsi="Times New Roman" w:cs="Times New Roman"/>
          <w:sz w:val="22"/>
          <w:szCs w:val="22"/>
        </w:rPr>
        <w:lastRenderedPageBreak/>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4</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w:t>
      </w:r>
      <w:r w:rsidR="008A2901" w:rsidRPr="00B824AA">
        <w:rPr>
          <w:rFonts w:ascii="Times New Roman" w:hAnsi="Times New Roman" w:cs="Times New Roman"/>
          <w:sz w:val="22"/>
          <w:szCs w:val="22"/>
        </w:rPr>
        <w:t>Ryn</w:t>
      </w:r>
      <w:r w:rsidR="00C9487A" w:rsidRPr="00B824AA">
        <w:rPr>
          <w:rFonts w:ascii="Times New Roman" w:hAnsi="Times New Roman" w:cs="Times New Roman"/>
          <w:sz w:val="22"/>
          <w:szCs w:val="22"/>
        </w:rPr>
        <w:t>ek</w:t>
      </w:r>
      <w:r w:rsidR="008A2901" w:rsidRPr="00B824AA">
        <w:rPr>
          <w:rFonts w:ascii="Times New Roman" w:hAnsi="Times New Roman" w:cs="Times New Roman"/>
          <w:sz w:val="22"/>
          <w:szCs w:val="22"/>
        </w:rPr>
        <w:t xml:space="preserve"> pracy</w:t>
      </w:r>
      <w:r w:rsidRPr="00B824AA">
        <w:rPr>
          <w:rFonts w:ascii="Times New Roman" w:hAnsi="Times New Roman" w:cs="Times New Roman"/>
          <w:sz w:val="22"/>
          <w:szCs w:val="22"/>
        </w:rPr>
        <w:t xml:space="preserve"> w latach 2010, 2015, 2020</w:t>
      </w:r>
      <w:r w:rsidR="00C266E2">
        <w:rPr>
          <w:rFonts w:ascii="Times New Roman" w:hAnsi="Times New Roman" w:cs="Times New Roman"/>
          <w:sz w:val="22"/>
          <w:szCs w:val="22"/>
        </w:rPr>
        <w:t>,</w:t>
      </w:r>
      <w:r w:rsidRPr="00B824AA">
        <w:rPr>
          <w:rFonts w:ascii="Times New Roman" w:hAnsi="Times New Roman" w:cs="Times New Roman"/>
          <w:sz w:val="22"/>
          <w:szCs w:val="22"/>
        </w:rPr>
        <w:t xml:space="preserve"> 2021</w:t>
      </w:r>
      <w:r w:rsidR="00C266E2">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392B71" w:rsidRPr="00B824AA" w:rsidDel="006430B4" w14:paraId="21810F71" w14:textId="77777777" w:rsidTr="00EB578B">
        <w:trPr>
          <w:trHeight w:val="367"/>
          <w:tblHeader/>
        </w:trPr>
        <w:tc>
          <w:tcPr>
            <w:tcW w:w="2551" w:type="dxa"/>
            <w:vMerge w:val="restart"/>
            <w:vAlign w:val="center"/>
          </w:tcPr>
          <w:p w14:paraId="799398DC" w14:textId="48D54C46" w:rsidR="00392B71" w:rsidRPr="00B824AA" w:rsidDel="006430B4" w:rsidRDefault="00C9487A" w:rsidP="00CC3BD8">
            <w:pPr>
              <w:jc w:val="center"/>
              <w:rPr>
                <w:rFonts w:ascii="Times New Roman" w:hAnsi="Times New Roman" w:cs="Times New Roman"/>
                <w:b/>
                <w:bCs/>
              </w:rPr>
            </w:pPr>
            <w:r w:rsidRPr="00B824AA">
              <w:rPr>
                <w:rFonts w:ascii="Times New Roman" w:hAnsi="Times New Roman" w:cs="Times New Roman"/>
                <w:b/>
                <w:bCs/>
              </w:rPr>
              <w:t>Wymiar</w:t>
            </w:r>
            <w:r w:rsidR="00392B71" w:rsidRPr="00B824AA" w:rsidDel="006430B4">
              <w:rPr>
                <w:rFonts w:ascii="Times New Roman" w:hAnsi="Times New Roman" w:cs="Times New Roman"/>
                <w:b/>
                <w:bCs/>
              </w:rPr>
              <w:t xml:space="preserve"> i wskaźniki cząstkowe oraz lata</w:t>
            </w:r>
          </w:p>
        </w:tc>
        <w:tc>
          <w:tcPr>
            <w:tcW w:w="6462" w:type="dxa"/>
            <w:gridSpan w:val="3"/>
            <w:vAlign w:val="center"/>
          </w:tcPr>
          <w:p w14:paraId="2E5C2EED" w14:textId="37FF2339" w:rsidR="00392B71" w:rsidRPr="00B824AA" w:rsidDel="006430B4" w:rsidRDefault="00392B71" w:rsidP="00CC3BD8">
            <w:pPr>
              <w:jc w:val="center"/>
              <w:rPr>
                <w:rFonts w:ascii="Times New Roman" w:hAnsi="Times New Roman" w:cs="Times New Roman"/>
                <w:b/>
                <w:bCs/>
              </w:rPr>
            </w:pPr>
            <w:r w:rsidRPr="00B824AA" w:rsidDel="006430B4">
              <w:rPr>
                <w:rFonts w:ascii="Times New Roman" w:hAnsi="Times New Roman" w:cs="Times New Roman"/>
                <w:b/>
                <w:bCs/>
              </w:rPr>
              <w:t xml:space="preserve">Wskaźniki </w:t>
            </w:r>
            <w:proofErr w:type="spellStart"/>
            <w:r w:rsidR="009B2D4F">
              <w:rPr>
                <w:rFonts w:ascii="Times New Roman" w:hAnsi="Times New Roman" w:cs="Times New Roman"/>
                <w:b/>
                <w:bCs/>
              </w:rPr>
              <w:t>catch-up</w:t>
            </w:r>
            <w:proofErr w:type="spellEnd"/>
            <w:r w:rsidRPr="00B824AA" w:rsidDel="006430B4">
              <w:rPr>
                <w:rFonts w:ascii="Times New Roman" w:hAnsi="Times New Roman" w:cs="Times New Roman"/>
                <w:b/>
                <w:bCs/>
              </w:rPr>
              <w:t xml:space="preserve"> w %</w:t>
            </w:r>
          </w:p>
        </w:tc>
      </w:tr>
      <w:tr w:rsidR="00C9487A" w:rsidRPr="00B824AA" w:rsidDel="006430B4" w14:paraId="1FEE65B3" w14:textId="77777777" w:rsidTr="00EB578B">
        <w:trPr>
          <w:trHeight w:val="399"/>
          <w:tblHeader/>
        </w:trPr>
        <w:tc>
          <w:tcPr>
            <w:tcW w:w="2551" w:type="dxa"/>
            <w:vMerge/>
            <w:vAlign w:val="center"/>
          </w:tcPr>
          <w:p w14:paraId="6F3A379E" w14:textId="77777777" w:rsidR="00C9487A" w:rsidRPr="00B824AA" w:rsidDel="006430B4" w:rsidRDefault="00C9487A" w:rsidP="00C9487A">
            <w:pPr>
              <w:jc w:val="center"/>
              <w:rPr>
                <w:rFonts w:ascii="Times New Roman" w:hAnsi="Times New Roman" w:cs="Times New Roman"/>
                <w:b/>
                <w:bCs/>
              </w:rPr>
            </w:pPr>
          </w:p>
        </w:tc>
        <w:tc>
          <w:tcPr>
            <w:tcW w:w="2154" w:type="dxa"/>
            <w:vAlign w:val="center"/>
          </w:tcPr>
          <w:p w14:paraId="277492E0" w14:textId="30B31BAF" w:rsidR="00C9487A" w:rsidRPr="00B824AA" w:rsidDel="006430B4" w:rsidRDefault="00C9487A" w:rsidP="00C9487A">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vAlign w:val="center"/>
          </w:tcPr>
          <w:p w14:paraId="3E335332" w14:textId="609BDA98" w:rsidR="00C9487A" w:rsidRPr="00B824AA" w:rsidDel="006430B4" w:rsidRDefault="00C9487A" w:rsidP="00C9487A">
            <w:pPr>
              <w:jc w:val="center"/>
              <w:rPr>
                <w:rFonts w:ascii="Times New Roman" w:hAnsi="Times New Roman" w:cs="Times New Roman"/>
                <w:b/>
                <w:bCs/>
              </w:rPr>
            </w:pPr>
            <w:r w:rsidRPr="00B824AA">
              <w:rPr>
                <w:rFonts w:ascii="Times New Roman" w:hAnsi="Times New Roman" w:cs="Times New Roman"/>
                <w:b/>
                <w:bCs/>
              </w:rPr>
              <w:t>Polska – UE 14</w:t>
            </w:r>
          </w:p>
        </w:tc>
        <w:tc>
          <w:tcPr>
            <w:tcW w:w="2154" w:type="dxa"/>
            <w:vAlign w:val="center"/>
          </w:tcPr>
          <w:p w14:paraId="520B8B5E" w14:textId="52F16434" w:rsidR="00C9487A" w:rsidRPr="00B824AA" w:rsidDel="006430B4" w:rsidRDefault="00C9487A" w:rsidP="00C9487A">
            <w:pPr>
              <w:jc w:val="center"/>
              <w:rPr>
                <w:rFonts w:ascii="Times New Roman" w:hAnsi="Times New Roman" w:cs="Times New Roman"/>
                <w:b/>
                <w:bCs/>
              </w:rPr>
            </w:pPr>
            <w:r w:rsidRPr="00B824AA">
              <w:rPr>
                <w:rFonts w:ascii="Times New Roman" w:hAnsi="Times New Roman" w:cs="Times New Roman"/>
                <w:b/>
                <w:bCs/>
              </w:rPr>
              <w:t>Polska – UE 13</w:t>
            </w:r>
          </w:p>
        </w:tc>
      </w:tr>
      <w:tr w:rsidR="00392B71" w:rsidRPr="00B824AA" w:rsidDel="006430B4" w14:paraId="220818E8" w14:textId="77777777" w:rsidTr="00D9615A">
        <w:trPr>
          <w:trHeight w:val="256"/>
        </w:trPr>
        <w:tc>
          <w:tcPr>
            <w:tcW w:w="2551" w:type="dxa"/>
            <w:tcBorders>
              <w:bottom w:val="nil"/>
            </w:tcBorders>
            <w:vAlign w:val="center"/>
          </w:tcPr>
          <w:p w14:paraId="17C0419F" w14:textId="77777777" w:rsidR="00392B71" w:rsidRPr="00B824AA" w:rsidDel="006430B4" w:rsidRDefault="00392B71" w:rsidP="00CC3BD8">
            <w:pPr>
              <w:ind w:left="316"/>
              <w:rPr>
                <w:rFonts w:ascii="Times New Roman" w:hAnsi="Times New Roman" w:cs="Times New Roman"/>
                <w:b/>
                <w:bCs/>
              </w:rPr>
            </w:pPr>
            <w:r w:rsidRPr="00B824AA" w:rsidDel="006430B4">
              <w:rPr>
                <w:rFonts w:ascii="Times New Roman" w:hAnsi="Times New Roman" w:cs="Times New Roman"/>
                <w:b/>
                <w:bCs/>
                <w:color w:val="000000"/>
              </w:rPr>
              <w:t>Rynek pracy</w:t>
            </w:r>
          </w:p>
        </w:tc>
        <w:tc>
          <w:tcPr>
            <w:tcW w:w="2154" w:type="dxa"/>
            <w:tcBorders>
              <w:bottom w:val="nil"/>
            </w:tcBorders>
          </w:tcPr>
          <w:p w14:paraId="45A23013" w14:textId="77777777" w:rsidR="00392B71" w:rsidRPr="00B824AA" w:rsidDel="006430B4" w:rsidRDefault="00392B71" w:rsidP="00CC3BD8">
            <w:pPr>
              <w:tabs>
                <w:tab w:val="decimal" w:pos="1135"/>
              </w:tabs>
              <w:rPr>
                <w:rFonts w:ascii="Times New Roman" w:hAnsi="Times New Roman" w:cs="Times New Roman"/>
                <w:b/>
                <w:bCs/>
              </w:rPr>
            </w:pPr>
          </w:p>
        </w:tc>
        <w:tc>
          <w:tcPr>
            <w:tcW w:w="2154" w:type="dxa"/>
            <w:tcBorders>
              <w:bottom w:val="nil"/>
            </w:tcBorders>
          </w:tcPr>
          <w:p w14:paraId="7A1B3565" w14:textId="77777777" w:rsidR="00392B71" w:rsidRPr="00B824AA" w:rsidDel="006430B4" w:rsidRDefault="00392B71" w:rsidP="00CC3BD8">
            <w:pPr>
              <w:tabs>
                <w:tab w:val="decimal" w:pos="1107"/>
              </w:tabs>
              <w:rPr>
                <w:rFonts w:ascii="Times New Roman" w:hAnsi="Times New Roman" w:cs="Times New Roman"/>
                <w:b/>
                <w:bCs/>
              </w:rPr>
            </w:pPr>
          </w:p>
        </w:tc>
        <w:tc>
          <w:tcPr>
            <w:tcW w:w="2154" w:type="dxa"/>
            <w:tcBorders>
              <w:bottom w:val="nil"/>
            </w:tcBorders>
          </w:tcPr>
          <w:p w14:paraId="00DC647F" w14:textId="77777777" w:rsidR="00392B71" w:rsidRPr="00B824AA" w:rsidDel="006430B4" w:rsidRDefault="00392B71" w:rsidP="00CC3BD8">
            <w:pPr>
              <w:tabs>
                <w:tab w:val="decimal" w:pos="1221"/>
              </w:tabs>
              <w:rPr>
                <w:rFonts w:ascii="Times New Roman" w:hAnsi="Times New Roman" w:cs="Times New Roman"/>
                <w:b/>
                <w:bCs/>
              </w:rPr>
            </w:pPr>
          </w:p>
        </w:tc>
      </w:tr>
      <w:tr w:rsidR="00D627F2" w:rsidRPr="00B824AA" w:rsidDel="006430B4" w14:paraId="0FCA34E1" w14:textId="77777777" w:rsidTr="00866620">
        <w:tc>
          <w:tcPr>
            <w:tcW w:w="2551" w:type="dxa"/>
            <w:tcBorders>
              <w:top w:val="nil"/>
              <w:bottom w:val="nil"/>
            </w:tcBorders>
            <w:vAlign w:val="center"/>
          </w:tcPr>
          <w:p w14:paraId="2BB03BAC" w14:textId="77777777" w:rsidR="00D627F2" w:rsidRPr="00B824AA" w:rsidDel="006430B4" w:rsidRDefault="00D627F2" w:rsidP="00BF2C40">
            <w:pPr>
              <w:ind w:left="316"/>
              <w:rPr>
                <w:rFonts w:ascii="Times New Roman" w:hAnsi="Times New Roman" w:cs="Times New Roman"/>
                <w:b/>
                <w:bCs/>
              </w:rPr>
            </w:pPr>
            <w:r w:rsidRPr="00B824AA" w:rsidDel="006430B4">
              <w:rPr>
                <w:rFonts w:ascii="Times New Roman" w:hAnsi="Times New Roman" w:cs="Times New Roman"/>
                <w:b/>
                <w:bCs/>
                <w:color w:val="000000"/>
              </w:rPr>
              <w:t>2010</w:t>
            </w:r>
          </w:p>
        </w:tc>
        <w:tc>
          <w:tcPr>
            <w:tcW w:w="2154" w:type="dxa"/>
            <w:tcBorders>
              <w:top w:val="nil"/>
              <w:bottom w:val="nil"/>
            </w:tcBorders>
          </w:tcPr>
          <w:p w14:paraId="22EE0E17" w14:textId="34F4FE6A" w:rsidR="00D627F2" w:rsidRPr="00D627F2" w:rsidDel="006430B4" w:rsidRDefault="00D627F2" w:rsidP="00BF2C40">
            <w:pPr>
              <w:tabs>
                <w:tab w:val="decimal" w:pos="1135"/>
              </w:tabs>
              <w:rPr>
                <w:rFonts w:ascii="Times New Roman" w:hAnsi="Times New Roman" w:cs="Times New Roman"/>
                <w:b/>
                <w:bCs/>
              </w:rPr>
            </w:pPr>
            <w:r w:rsidRPr="00D627F2">
              <w:rPr>
                <w:rFonts w:ascii="Times New Roman" w:hAnsi="Times New Roman" w:cs="Times New Roman"/>
                <w:b/>
              </w:rPr>
              <w:t>63</w:t>
            </w:r>
          </w:p>
        </w:tc>
        <w:tc>
          <w:tcPr>
            <w:tcW w:w="2154" w:type="dxa"/>
            <w:tcBorders>
              <w:top w:val="nil"/>
              <w:bottom w:val="nil"/>
            </w:tcBorders>
          </w:tcPr>
          <w:p w14:paraId="219F46F6" w14:textId="2E202FD6" w:rsidR="00D627F2" w:rsidRPr="00D627F2" w:rsidDel="006430B4" w:rsidRDefault="00D627F2" w:rsidP="00BF2C40">
            <w:pPr>
              <w:tabs>
                <w:tab w:val="decimal" w:pos="1107"/>
              </w:tabs>
              <w:rPr>
                <w:rFonts w:ascii="Times New Roman" w:hAnsi="Times New Roman" w:cs="Times New Roman"/>
                <w:b/>
                <w:bCs/>
              </w:rPr>
            </w:pPr>
            <w:r w:rsidRPr="00D627F2">
              <w:rPr>
                <w:rFonts w:ascii="Times New Roman" w:hAnsi="Times New Roman" w:cs="Times New Roman"/>
                <w:b/>
              </w:rPr>
              <w:t>68</w:t>
            </w:r>
          </w:p>
        </w:tc>
        <w:tc>
          <w:tcPr>
            <w:tcW w:w="2154" w:type="dxa"/>
            <w:tcBorders>
              <w:top w:val="nil"/>
              <w:bottom w:val="nil"/>
            </w:tcBorders>
          </w:tcPr>
          <w:p w14:paraId="767208D8" w14:textId="2C4F19D8" w:rsidR="00D627F2" w:rsidRPr="00D627F2" w:rsidDel="006430B4" w:rsidRDefault="00D627F2" w:rsidP="00BF2C40">
            <w:pPr>
              <w:tabs>
                <w:tab w:val="decimal" w:pos="1221"/>
              </w:tabs>
              <w:rPr>
                <w:rFonts w:ascii="Times New Roman" w:hAnsi="Times New Roman" w:cs="Times New Roman"/>
                <w:b/>
                <w:bCs/>
              </w:rPr>
            </w:pPr>
            <w:r w:rsidRPr="00D627F2">
              <w:rPr>
                <w:rFonts w:ascii="Times New Roman" w:hAnsi="Times New Roman" w:cs="Times New Roman"/>
                <w:b/>
              </w:rPr>
              <w:t>63</w:t>
            </w:r>
          </w:p>
        </w:tc>
      </w:tr>
      <w:tr w:rsidR="00D627F2" w:rsidRPr="00B824AA" w:rsidDel="006430B4" w14:paraId="14DF0BA6" w14:textId="77777777" w:rsidTr="00866620">
        <w:tc>
          <w:tcPr>
            <w:tcW w:w="2551" w:type="dxa"/>
            <w:tcBorders>
              <w:top w:val="nil"/>
              <w:bottom w:val="nil"/>
            </w:tcBorders>
            <w:vAlign w:val="center"/>
          </w:tcPr>
          <w:p w14:paraId="5B5B54E8" w14:textId="77777777" w:rsidR="00D627F2" w:rsidRPr="00B824AA" w:rsidDel="006430B4" w:rsidRDefault="00D627F2" w:rsidP="00BF2C40">
            <w:pPr>
              <w:ind w:left="316"/>
              <w:rPr>
                <w:rFonts w:ascii="Times New Roman" w:hAnsi="Times New Roman" w:cs="Times New Roman"/>
                <w:b/>
                <w:bCs/>
              </w:rPr>
            </w:pPr>
            <w:r w:rsidRPr="00B824AA" w:rsidDel="006430B4">
              <w:rPr>
                <w:rFonts w:ascii="Times New Roman" w:hAnsi="Times New Roman" w:cs="Times New Roman"/>
                <w:b/>
                <w:bCs/>
                <w:color w:val="000000"/>
              </w:rPr>
              <w:t>2015</w:t>
            </w:r>
          </w:p>
        </w:tc>
        <w:tc>
          <w:tcPr>
            <w:tcW w:w="2154" w:type="dxa"/>
            <w:tcBorders>
              <w:top w:val="nil"/>
              <w:bottom w:val="nil"/>
            </w:tcBorders>
          </w:tcPr>
          <w:p w14:paraId="59D538D3" w14:textId="02F91454" w:rsidR="00D627F2" w:rsidRPr="00D627F2" w:rsidDel="006430B4" w:rsidRDefault="00D627F2" w:rsidP="00BF2C40">
            <w:pPr>
              <w:tabs>
                <w:tab w:val="decimal" w:pos="1135"/>
              </w:tabs>
              <w:rPr>
                <w:rFonts w:ascii="Times New Roman" w:hAnsi="Times New Roman" w:cs="Times New Roman"/>
                <w:b/>
                <w:bCs/>
              </w:rPr>
            </w:pPr>
            <w:r w:rsidRPr="00D627F2">
              <w:rPr>
                <w:rFonts w:ascii="Times New Roman" w:hAnsi="Times New Roman" w:cs="Times New Roman"/>
                <w:b/>
              </w:rPr>
              <w:t>65</w:t>
            </w:r>
          </w:p>
        </w:tc>
        <w:tc>
          <w:tcPr>
            <w:tcW w:w="2154" w:type="dxa"/>
            <w:tcBorders>
              <w:top w:val="nil"/>
              <w:bottom w:val="nil"/>
            </w:tcBorders>
          </w:tcPr>
          <w:p w14:paraId="63F1C9BF" w14:textId="5B590641" w:rsidR="00D627F2" w:rsidRPr="00D627F2" w:rsidDel="006430B4" w:rsidRDefault="00D627F2" w:rsidP="00BF2C40">
            <w:pPr>
              <w:tabs>
                <w:tab w:val="decimal" w:pos="1107"/>
              </w:tabs>
              <w:rPr>
                <w:rFonts w:ascii="Times New Roman" w:hAnsi="Times New Roman" w:cs="Times New Roman"/>
                <w:b/>
                <w:bCs/>
              </w:rPr>
            </w:pPr>
            <w:r w:rsidRPr="00D627F2">
              <w:rPr>
                <w:rFonts w:ascii="Times New Roman" w:hAnsi="Times New Roman" w:cs="Times New Roman"/>
                <w:b/>
              </w:rPr>
              <w:t>68</w:t>
            </w:r>
          </w:p>
        </w:tc>
        <w:tc>
          <w:tcPr>
            <w:tcW w:w="2154" w:type="dxa"/>
            <w:tcBorders>
              <w:top w:val="nil"/>
              <w:bottom w:val="nil"/>
            </w:tcBorders>
          </w:tcPr>
          <w:p w14:paraId="4DD58F16" w14:textId="3B5E0A4D" w:rsidR="00D627F2" w:rsidRPr="00D627F2" w:rsidDel="006430B4" w:rsidRDefault="00D627F2" w:rsidP="00BF2C40">
            <w:pPr>
              <w:tabs>
                <w:tab w:val="decimal" w:pos="1221"/>
              </w:tabs>
              <w:rPr>
                <w:rFonts w:ascii="Times New Roman" w:hAnsi="Times New Roman" w:cs="Times New Roman"/>
                <w:b/>
                <w:bCs/>
              </w:rPr>
            </w:pPr>
            <w:r w:rsidRPr="00D627F2">
              <w:rPr>
                <w:rFonts w:ascii="Times New Roman" w:hAnsi="Times New Roman" w:cs="Times New Roman"/>
                <w:b/>
              </w:rPr>
              <w:t>68</w:t>
            </w:r>
          </w:p>
        </w:tc>
      </w:tr>
      <w:tr w:rsidR="00D627F2" w:rsidRPr="00B824AA" w:rsidDel="006430B4" w14:paraId="359A5EAA" w14:textId="77777777" w:rsidTr="00866620">
        <w:tc>
          <w:tcPr>
            <w:tcW w:w="2551" w:type="dxa"/>
            <w:tcBorders>
              <w:top w:val="nil"/>
              <w:bottom w:val="nil"/>
            </w:tcBorders>
            <w:vAlign w:val="center"/>
          </w:tcPr>
          <w:p w14:paraId="4BCE8BD0" w14:textId="77777777" w:rsidR="00D627F2" w:rsidRPr="00B824AA" w:rsidDel="006430B4" w:rsidRDefault="00D627F2" w:rsidP="00BF2C40">
            <w:pPr>
              <w:ind w:left="316"/>
              <w:rPr>
                <w:rFonts w:ascii="Times New Roman" w:hAnsi="Times New Roman" w:cs="Times New Roman"/>
                <w:b/>
                <w:bCs/>
              </w:rPr>
            </w:pPr>
            <w:r w:rsidRPr="00B824AA" w:rsidDel="006430B4">
              <w:rPr>
                <w:rFonts w:ascii="Times New Roman" w:hAnsi="Times New Roman" w:cs="Times New Roman"/>
                <w:b/>
                <w:bCs/>
                <w:color w:val="000000"/>
              </w:rPr>
              <w:t>2020</w:t>
            </w:r>
          </w:p>
        </w:tc>
        <w:tc>
          <w:tcPr>
            <w:tcW w:w="2154" w:type="dxa"/>
            <w:tcBorders>
              <w:top w:val="nil"/>
              <w:bottom w:val="nil"/>
            </w:tcBorders>
          </w:tcPr>
          <w:p w14:paraId="4DD6805B" w14:textId="11C0FBE6" w:rsidR="00D627F2" w:rsidRPr="00D627F2" w:rsidDel="006430B4" w:rsidRDefault="00D627F2" w:rsidP="00BF2C40">
            <w:pPr>
              <w:tabs>
                <w:tab w:val="decimal" w:pos="1135"/>
              </w:tabs>
              <w:rPr>
                <w:rFonts w:ascii="Times New Roman" w:hAnsi="Times New Roman" w:cs="Times New Roman"/>
                <w:b/>
                <w:bCs/>
              </w:rPr>
            </w:pPr>
            <w:r w:rsidRPr="00D627F2">
              <w:rPr>
                <w:rFonts w:ascii="Times New Roman" w:hAnsi="Times New Roman" w:cs="Times New Roman"/>
                <w:b/>
              </w:rPr>
              <w:t>71</w:t>
            </w:r>
          </w:p>
        </w:tc>
        <w:tc>
          <w:tcPr>
            <w:tcW w:w="2154" w:type="dxa"/>
            <w:tcBorders>
              <w:top w:val="nil"/>
              <w:bottom w:val="nil"/>
            </w:tcBorders>
          </w:tcPr>
          <w:p w14:paraId="3906FC13" w14:textId="2DE1CE7D" w:rsidR="00D627F2" w:rsidRPr="00D627F2" w:rsidDel="006430B4" w:rsidRDefault="00D627F2" w:rsidP="00BF2C40">
            <w:pPr>
              <w:tabs>
                <w:tab w:val="decimal" w:pos="1107"/>
              </w:tabs>
              <w:rPr>
                <w:rFonts w:ascii="Times New Roman" w:hAnsi="Times New Roman" w:cs="Times New Roman"/>
                <w:b/>
                <w:bCs/>
              </w:rPr>
            </w:pPr>
            <w:r w:rsidRPr="00D627F2">
              <w:rPr>
                <w:rFonts w:ascii="Times New Roman" w:hAnsi="Times New Roman" w:cs="Times New Roman"/>
                <w:b/>
              </w:rPr>
              <w:t>76</w:t>
            </w:r>
          </w:p>
        </w:tc>
        <w:tc>
          <w:tcPr>
            <w:tcW w:w="2154" w:type="dxa"/>
            <w:tcBorders>
              <w:top w:val="nil"/>
              <w:bottom w:val="nil"/>
            </w:tcBorders>
          </w:tcPr>
          <w:p w14:paraId="5C0136A6" w14:textId="11425C9E" w:rsidR="00D627F2" w:rsidRPr="00D627F2" w:rsidDel="006430B4" w:rsidRDefault="00D627F2" w:rsidP="00BF2C40">
            <w:pPr>
              <w:tabs>
                <w:tab w:val="decimal" w:pos="1221"/>
              </w:tabs>
              <w:rPr>
                <w:rFonts w:ascii="Times New Roman" w:hAnsi="Times New Roman" w:cs="Times New Roman"/>
                <w:b/>
                <w:bCs/>
              </w:rPr>
            </w:pPr>
            <w:r w:rsidRPr="00D627F2">
              <w:rPr>
                <w:rFonts w:ascii="Times New Roman" w:hAnsi="Times New Roman" w:cs="Times New Roman"/>
                <w:b/>
              </w:rPr>
              <w:t>69</w:t>
            </w:r>
          </w:p>
        </w:tc>
      </w:tr>
      <w:tr w:rsidR="00D627F2" w:rsidRPr="00B824AA" w14:paraId="15DBF71C" w14:textId="77777777" w:rsidTr="00866620">
        <w:tc>
          <w:tcPr>
            <w:tcW w:w="2551" w:type="dxa"/>
            <w:tcBorders>
              <w:top w:val="nil"/>
              <w:left w:val="single" w:sz="4" w:space="0" w:color="auto"/>
              <w:bottom w:val="nil"/>
              <w:right w:val="single" w:sz="4" w:space="0" w:color="auto"/>
            </w:tcBorders>
            <w:vAlign w:val="center"/>
            <w:hideMark/>
          </w:tcPr>
          <w:p w14:paraId="45E1C770" w14:textId="77777777" w:rsidR="00D627F2" w:rsidRPr="00B824AA" w:rsidRDefault="00D627F2" w:rsidP="00BF2C40">
            <w:pPr>
              <w:ind w:left="316"/>
              <w:rPr>
                <w:rFonts w:ascii="Times New Roman" w:hAnsi="Times New Roman" w:cs="Times New Roman"/>
                <w:b/>
                <w:bCs/>
                <w:color w:val="000000"/>
              </w:rPr>
            </w:pPr>
            <w:r w:rsidRPr="00B824AA">
              <w:rPr>
                <w:rFonts w:ascii="Times New Roman" w:hAnsi="Times New Roman" w:cs="Times New Roman"/>
                <w:b/>
                <w:bCs/>
                <w:color w:val="000000"/>
              </w:rPr>
              <w:t>2021</w:t>
            </w:r>
          </w:p>
        </w:tc>
        <w:tc>
          <w:tcPr>
            <w:tcW w:w="2154" w:type="dxa"/>
            <w:tcBorders>
              <w:top w:val="nil"/>
              <w:left w:val="single" w:sz="4" w:space="0" w:color="auto"/>
              <w:bottom w:val="nil"/>
              <w:right w:val="single" w:sz="4" w:space="0" w:color="auto"/>
            </w:tcBorders>
            <w:hideMark/>
          </w:tcPr>
          <w:p w14:paraId="01ACDF12" w14:textId="0DAE3369" w:rsidR="00D627F2" w:rsidRPr="00D627F2" w:rsidRDefault="00D627F2" w:rsidP="00BF2C40">
            <w:pPr>
              <w:tabs>
                <w:tab w:val="decimal" w:pos="1135"/>
              </w:tabs>
              <w:rPr>
                <w:rFonts w:ascii="Times New Roman" w:hAnsi="Times New Roman" w:cs="Times New Roman"/>
                <w:b/>
                <w:bCs/>
                <w:color w:val="000000"/>
              </w:rPr>
            </w:pPr>
            <w:r w:rsidRPr="00D627F2">
              <w:rPr>
                <w:rFonts w:ascii="Times New Roman" w:hAnsi="Times New Roman" w:cs="Times New Roman"/>
                <w:b/>
              </w:rPr>
              <w:t>80</w:t>
            </w:r>
          </w:p>
        </w:tc>
        <w:tc>
          <w:tcPr>
            <w:tcW w:w="2154" w:type="dxa"/>
            <w:tcBorders>
              <w:top w:val="nil"/>
              <w:left w:val="single" w:sz="4" w:space="0" w:color="auto"/>
              <w:bottom w:val="nil"/>
              <w:right w:val="single" w:sz="4" w:space="0" w:color="auto"/>
            </w:tcBorders>
            <w:hideMark/>
          </w:tcPr>
          <w:p w14:paraId="5FF65EAC" w14:textId="15376E3A" w:rsidR="00D627F2" w:rsidRPr="00D627F2" w:rsidRDefault="00D627F2" w:rsidP="00BF2C40">
            <w:pPr>
              <w:tabs>
                <w:tab w:val="decimal" w:pos="1107"/>
              </w:tabs>
              <w:rPr>
                <w:rFonts w:ascii="Times New Roman" w:hAnsi="Times New Roman" w:cs="Times New Roman"/>
                <w:b/>
                <w:bCs/>
                <w:color w:val="000000"/>
              </w:rPr>
            </w:pPr>
            <w:r w:rsidRPr="00D627F2">
              <w:rPr>
                <w:rFonts w:ascii="Times New Roman" w:hAnsi="Times New Roman" w:cs="Times New Roman"/>
                <w:b/>
              </w:rPr>
              <w:t>84</w:t>
            </w:r>
          </w:p>
        </w:tc>
        <w:tc>
          <w:tcPr>
            <w:tcW w:w="2154" w:type="dxa"/>
            <w:tcBorders>
              <w:top w:val="nil"/>
              <w:left w:val="single" w:sz="4" w:space="0" w:color="auto"/>
              <w:bottom w:val="nil"/>
              <w:right w:val="single" w:sz="4" w:space="0" w:color="auto"/>
            </w:tcBorders>
            <w:hideMark/>
          </w:tcPr>
          <w:p w14:paraId="099AE1FA" w14:textId="479CA5F6" w:rsidR="00D627F2" w:rsidRPr="00D627F2" w:rsidRDefault="00D627F2" w:rsidP="00BF2C40">
            <w:pPr>
              <w:tabs>
                <w:tab w:val="decimal" w:pos="1221"/>
              </w:tabs>
              <w:rPr>
                <w:rFonts w:ascii="Times New Roman" w:hAnsi="Times New Roman" w:cs="Times New Roman"/>
                <w:b/>
                <w:bCs/>
                <w:color w:val="000000"/>
              </w:rPr>
            </w:pPr>
            <w:r w:rsidRPr="00D627F2">
              <w:rPr>
                <w:rFonts w:ascii="Times New Roman" w:hAnsi="Times New Roman" w:cs="Times New Roman"/>
                <w:b/>
              </w:rPr>
              <w:t>79</w:t>
            </w:r>
          </w:p>
        </w:tc>
      </w:tr>
      <w:tr w:rsidR="00D627F2" w:rsidRPr="00B824AA" w14:paraId="51024DA5" w14:textId="77777777" w:rsidTr="00866620">
        <w:tc>
          <w:tcPr>
            <w:tcW w:w="2551" w:type="dxa"/>
            <w:tcBorders>
              <w:top w:val="nil"/>
              <w:left w:val="single" w:sz="4" w:space="0" w:color="auto"/>
              <w:bottom w:val="nil"/>
              <w:right w:val="single" w:sz="4" w:space="0" w:color="auto"/>
            </w:tcBorders>
            <w:vAlign w:val="center"/>
          </w:tcPr>
          <w:p w14:paraId="33F1F60A" w14:textId="6069971E" w:rsidR="00D627F2" w:rsidRPr="00B824AA" w:rsidRDefault="00D627F2" w:rsidP="00BF2C40">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left w:val="single" w:sz="4" w:space="0" w:color="auto"/>
              <w:bottom w:val="nil"/>
              <w:right w:val="single" w:sz="4" w:space="0" w:color="auto"/>
            </w:tcBorders>
          </w:tcPr>
          <w:p w14:paraId="6478BF1D" w14:textId="5F979805" w:rsidR="00D627F2" w:rsidRPr="00D627F2" w:rsidRDefault="00D627F2" w:rsidP="00BF2C40">
            <w:pPr>
              <w:tabs>
                <w:tab w:val="decimal" w:pos="1135"/>
              </w:tabs>
              <w:rPr>
                <w:rFonts w:ascii="Times New Roman" w:hAnsi="Times New Roman" w:cs="Times New Roman"/>
                <w:b/>
                <w:bCs/>
                <w:color w:val="000000"/>
              </w:rPr>
            </w:pPr>
            <w:r w:rsidRPr="00D627F2">
              <w:rPr>
                <w:rFonts w:ascii="Times New Roman" w:hAnsi="Times New Roman" w:cs="Times New Roman"/>
                <w:b/>
              </w:rPr>
              <w:t>79</w:t>
            </w:r>
          </w:p>
        </w:tc>
        <w:tc>
          <w:tcPr>
            <w:tcW w:w="2154" w:type="dxa"/>
            <w:tcBorders>
              <w:top w:val="nil"/>
              <w:left w:val="single" w:sz="4" w:space="0" w:color="auto"/>
              <w:bottom w:val="nil"/>
              <w:right w:val="single" w:sz="4" w:space="0" w:color="auto"/>
            </w:tcBorders>
          </w:tcPr>
          <w:p w14:paraId="0748A171" w14:textId="55AFE6DC" w:rsidR="00D627F2" w:rsidRPr="00D627F2" w:rsidRDefault="00D627F2" w:rsidP="00BF2C40">
            <w:pPr>
              <w:tabs>
                <w:tab w:val="decimal" w:pos="1107"/>
              </w:tabs>
              <w:rPr>
                <w:rFonts w:ascii="Times New Roman" w:hAnsi="Times New Roman" w:cs="Times New Roman"/>
                <w:b/>
                <w:bCs/>
                <w:color w:val="000000"/>
              </w:rPr>
            </w:pPr>
            <w:r w:rsidRPr="00D627F2">
              <w:rPr>
                <w:rFonts w:ascii="Times New Roman" w:hAnsi="Times New Roman" w:cs="Times New Roman"/>
                <w:b/>
              </w:rPr>
              <w:t>83</w:t>
            </w:r>
          </w:p>
        </w:tc>
        <w:tc>
          <w:tcPr>
            <w:tcW w:w="2154" w:type="dxa"/>
            <w:tcBorders>
              <w:top w:val="nil"/>
              <w:left w:val="single" w:sz="4" w:space="0" w:color="auto"/>
              <w:bottom w:val="nil"/>
              <w:right w:val="single" w:sz="4" w:space="0" w:color="auto"/>
            </w:tcBorders>
          </w:tcPr>
          <w:p w14:paraId="086620BB" w14:textId="5838671A" w:rsidR="00D627F2" w:rsidRPr="00D627F2" w:rsidRDefault="00D627F2" w:rsidP="00BF2C40">
            <w:pPr>
              <w:tabs>
                <w:tab w:val="decimal" w:pos="1221"/>
              </w:tabs>
              <w:rPr>
                <w:rFonts w:ascii="Times New Roman" w:hAnsi="Times New Roman" w:cs="Times New Roman"/>
                <w:b/>
                <w:bCs/>
                <w:color w:val="000000"/>
              </w:rPr>
            </w:pPr>
            <w:r w:rsidRPr="00D627F2">
              <w:rPr>
                <w:rFonts w:ascii="Times New Roman" w:hAnsi="Times New Roman" w:cs="Times New Roman"/>
                <w:b/>
              </w:rPr>
              <w:t>78</w:t>
            </w:r>
          </w:p>
        </w:tc>
      </w:tr>
      <w:tr w:rsidR="00392B71" w:rsidRPr="00B824AA" w:rsidDel="006430B4" w14:paraId="3EE17845" w14:textId="77777777" w:rsidTr="009B1C4F">
        <w:tc>
          <w:tcPr>
            <w:tcW w:w="2551" w:type="dxa"/>
            <w:tcBorders>
              <w:top w:val="nil"/>
              <w:bottom w:val="nil"/>
            </w:tcBorders>
            <w:vAlign w:val="center"/>
          </w:tcPr>
          <w:p w14:paraId="2207AD7C" w14:textId="77777777" w:rsidR="00392B71" w:rsidRPr="00B824AA" w:rsidRDefault="00392B71" w:rsidP="00CC3BD8">
            <w:pPr>
              <w:ind w:left="316"/>
              <w:rPr>
                <w:rFonts w:ascii="Times New Roman" w:hAnsi="Times New Roman" w:cs="Times New Roman"/>
                <w:color w:val="000000"/>
              </w:rPr>
            </w:pPr>
          </w:p>
          <w:p w14:paraId="7E2E69DC" w14:textId="579C4B75" w:rsidR="00392B71" w:rsidRPr="00B824AA" w:rsidDel="006430B4" w:rsidRDefault="00392B71" w:rsidP="00CC3BD8">
            <w:pPr>
              <w:ind w:left="316"/>
              <w:rPr>
                <w:rFonts w:ascii="Times New Roman" w:hAnsi="Times New Roman" w:cs="Times New Roman"/>
              </w:rPr>
            </w:pPr>
            <w:r w:rsidRPr="00B824AA" w:rsidDel="006430B4">
              <w:rPr>
                <w:rFonts w:ascii="Times New Roman" w:hAnsi="Times New Roman" w:cs="Times New Roman"/>
                <w:color w:val="000000"/>
              </w:rPr>
              <w:t>Wskaźnik zatrudnienia</w:t>
            </w:r>
          </w:p>
        </w:tc>
        <w:tc>
          <w:tcPr>
            <w:tcW w:w="2154" w:type="dxa"/>
            <w:tcBorders>
              <w:top w:val="nil"/>
              <w:bottom w:val="nil"/>
            </w:tcBorders>
            <w:vAlign w:val="bottom"/>
          </w:tcPr>
          <w:p w14:paraId="55A00F69" w14:textId="77777777" w:rsidR="00392B71" w:rsidRPr="00B824AA" w:rsidDel="006430B4" w:rsidRDefault="00392B71" w:rsidP="00CC3BD8">
            <w:pPr>
              <w:tabs>
                <w:tab w:val="decimal" w:pos="1135"/>
              </w:tabs>
              <w:rPr>
                <w:rFonts w:ascii="Times New Roman" w:hAnsi="Times New Roman" w:cs="Times New Roman"/>
              </w:rPr>
            </w:pPr>
          </w:p>
        </w:tc>
        <w:tc>
          <w:tcPr>
            <w:tcW w:w="2154" w:type="dxa"/>
            <w:tcBorders>
              <w:top w:val="nil"/>
              <w:bottom w:val="nil"/>
            </w:tcBorders>
            <w:vAlign w:val="bottom"/>
          </w:tcPr>
          <w:p w14:paraId="787C1DF6" w14:textId="77777777" w:rsidR="00392B71" w:rsidRPr="00B824AA" w:rsidDel="006430B4" w:rsidRDefault="00392B71" w:rsidP="00CC3BD8">
            <w:pPr>
              <w:tabs>
                <w:tab w:val="decimal" w:pos="1107"/>
              </w:tabs>
              <w:rPr>
                <w:rFonts w:ascii="Times New Roman" w:hAnsi="Times New Roman" w:cs="Times New Roman"/>
              </w:rPr>
            </w:pPr>
          </w:p>
        </w:tc>
        <w:tc>
          <w:tcPr>
            <w:tcW w:w="2154" w:type="dxa"/>
            <w:tcBorders>
              <w:top w:val="nil"/>
              <w:bottom w:val="nil"/>
            </w:tcBorders>
            <w:vAlign w:val="bottom"/>
          </w:tcPr>
          <w:p w14:paraId="4C965902" w14:textId="77777777" w:rsidR="00392B71" w:rsidRPr="00B824AA" w:rsidDel="006430B4" w:rsidRDefault="00392B71" w:rsidP="00CC3BD8">
            <w:pPr>
              <w:tabs>
                <w:tab w:val="decimal" w:pos="1221"/>
              </w:tabs>
              <w:rPr>
                <w:rFonts w:ascii="Times New Roman" w:hAnsi="Times New Roman" w:cs="Times New Roman"/>
              </w:rPr>
            </w:pPr>
          </w:p>
        </w:tc>
      </w:tr>
      <w:tr w:rsidR="00B269FF" w:rsidRPr="00B824AA" w:rsidDel="006430B4" w14:paraId="751AC03F" w14:textId="77777777" w:rsidTr="00866620">
        <w:tc>
          <w:tcPr>
            <w:tcW w:w="2551" w:type="dxa"/>
            <w:tcBorders>
              <w:top w:val="nil"/>
              <w:bottom w:val="nil"/>
            </w:tcBorders>
            <w:vAlign w:val="center"/>
          </w:tcPr>
          <w:p w14:paraId="6ACFC109" w14:textId="77777777" w:rsidR="00B269FF" w:rsidRPr="00B824AA" w:rsidDel="006430B4" w:rsidRDefault="00B269FF" w:rsidP="00BF2C40">
            <w:pPr>
              <w:ind w:left="316"/>
              <w:rPr>
                <w:rFonts w:ascii="Times New Roman" w:hAnsi="Times New Roman" w:cs="Times New Roman"/>
              </w:rPr>
            </w:pPr>
            <w:r w:rsidRPr="00B824AA" w:rsidDel="006430B4">
              <w:rPr>
                <w:rFonts w:ascii="Times New Roman" w:hAnsi="Times New Roman" w:cs="Times New Roman"/>
                <w:color w:val="000000"/>
              </w:rPr>
              <w:t>2010</w:t>
            </w:r>
          </w:p>
        </w:tc>
        <w:tc>
          <w:tcPr>
            <w:tcW w:w="2154" w:type="dxa"/>
            <w:tcBorders>
              <w:top w:val="nil"/>
              <w:bottom w:val="nil"/>
            </w:tcBorders>
          </w:tcPr>
          <w:p w14:paraId="3F2D6B88" w14:textId="0AD93420" w:rsidR="00B269FF" w:rsidRPr="00B269FF" w:rsidDel="006430B4" w:rsidRDefault="00B269FF" w:rsidP="00BF2C40">
            <w:pPr>
              <w:tabs>
                <w:tab w:val="decimal" w:pos="1135"/>
              </w:tabs>
              <w:rPr>
                <w:rFonts w:ascii="Times New Roman" w:hAnsi="Times New Roman" w:cs="Times New Roman"/>
              </w:rPr>
            </w:pPr>
            <w:r w:rsidRPr="00B269FF">
              <w:rPr>
                <w:rFonts w:ascii="Times New Roman" w:hAnsi="Times New Roman" w:cs="Times New Roman"/>
              </w:rPr>
              <w:t>92</w:t>
            </w:r>
          </w:p>
        </w:tc>
        <w:tc>
          <w:tcPr>
            <w:tcW w:w="2154" w:type="dxa"/>
            <w:tcBorders>
              <w:top w:val="nil"/>
              <w:bottom w:val="nil"/>
            </w:tcBorders>
          </w:tcPr>
          <w:p w14:paraId="4C832496" w14:textId="49B16858" w:rsidR="00B269FF" w:rsidRPr="00B269FF" w:rsidDel="006430B4" w:rsidRDefault="00B269FF" w:rsidP="00BF2C40">
            <w:pPr>
              <w:tabs>
                <w:tab w:val="decimal" w:pos="1107"/>
              </w:tabs>
              <w:rPr>
                <w:rFonts w:ascii="Times New Roman" w:hAnsi="Times New Roman" w:cs="Times New Roman"/>
              </w:rPr>
            </w:pPr>
            <w:r w:rsidRPr="00B269FF">
              <w:rPr>
                <w:rFonts w:ascii="Times New Roman" w:hAnsi="Times New Roman" w:cs="Times New Roman"/>
              </w:rPr>
              <w:t>90</w:t>
            </w:r>
          </w:p>
        </w:tc>
        <w:tc>
          <w:tcPr>
            <w:tcW w:w="2154" w:type="dxa"/>
            <w:tcBorders>
              <w:top w:val="nil"/>
              <w:bottom w:val="nil"/>
            </w:tcBorders>
          </w:tcPr>
          <w:p w14:paraId="5E1F62B6" w14:textId="35FCE511" w:rsidR="00B269FF" w:rsidRPr="00B269FF" w:rsidDel="006430B4" w:rsidRDefault="00B269FF" w:rsidP="00BF2C40">
            <w:pPr>
              <w:tabs>
                <w:tab w:val="decimal" w:pos="1221"/>
              </w:tabs>
              <w:rPr>
                <w:rFonts w:ascii="Times New Roman" w:hAnsi="Times New Roman" w:cs="Times New Roman"/>
              </w:rPr>
            </w:pPr>
            <w:r w:rsidRPr="00B269FF">
              <w:rPr>
                <w:rFonts w:ascii="Times New Roman" w:hAnsi="Times New Roman" w:cs="Times New Roman"/>
              </w:rPr>
              <w:t>99</w:t>
            </w:r>
          </w:p>
        </w:tc>
      </w:tr>
      <w:tr w:rsidR="00B269FF" w:rsidRPr="00B824AA" w:rsidDel="006430B4" w14:paraId="49569D5E" w14:textId="77777777" w:rsidTr="00866620">
        <w:tc>
          <w:tcPr>
            <w:tcW w:w="2551" w:type="dxa"/>
            <w:tcBorders>
              <w:top w:val="nil"/>
              <w:bottom w:val="nil"/>
            </w:tcBorders>
            <w:vAlign w:val="center"/>
          </w:tcPr>
          <w:p w14:paraId="1E4E32D1" w14:textId="77777777" w:rsidR="00B269FF" w:rsidRPr="00B824AA" w:rsidDel="006430B4" w:rsidRDefault="00B269FF" w:rsidP="00BF2C40">
            <w:pPr>
              <w:ind w:left="316"/>
              <w:rPr>
                <w:rFonts w:ascii="Times New Roman" w:hAnsi="Times New Roman" w:cs="Times New Roman"/>
              </w:rPr>
            </w:pPr>
            <w:r w:rsidRPr="00B824AA" w:rsidDel="006430B4">
              <w:rPr>
                <w:rFonts w:ascii="Times New Roman" w:hAnsi="Times New Roman" w:cs="Times New Roman"/>
                <w:color w:val="000000"/>
              </w:rPr>
              <w:t>2015</w:t>
            </w:r>
          </w:p>
        </w:tc>
        <w:tc>
          <w:tcPr>
            <w:tcW w:w="2154" w:type="dxa"/>
            <w:tcBorders>
              <w:top w:val="nil"/>
              <w:bottom w:val="nil"/>
            </w:tcBorders>
          </w:tcPr>
          <w:p w14:paraId="39002E34" w14:textId="41EC82A2" w:rsidR="00B269FF" w:rsidRPr="00B269FF" w:rsidDel="006430B4" w:rsidRDefault="00B269FF" w:rsidP="00BF2C40">
            <w:pPr>
              <w:tabs>
                <w:tab w:val="decimal" w:pos="1135"/>
              </w:tabs>
              <w:rPr>
                <w:rFonts w:ascii="Times New Roman" w:hAnsi="Times New Roman" w:cs="Times New Roman"/>
              </w:rPr>
            </w:pPr>
            <w:r w:rsidRPr="00B269FF">
              <w:rPr>
                <w:rFonts w:ascii="Times New Roman" w:hAnsi="Times New Roman" w:cs="Times New Roman"/>
              </w:rPr>
              <w:t>96</w:t>
            </w:r>
          </w:p>
        </w:tc>
        <w:tc>
          <w:tcPr>
            <w:tcW w:w="2154" w:type="dxa"/>
            <w:tcBorders>
              <w:top w:val="nil"/>
              <w:bottom w:val="nil"/>
            </w:tcBorders>
          </w:tcPr>
          <w:p w14:paraId="56F95628" w14:textId="295C694E" w:rsidR="00B269FF" w:rsidRPr="00B269FF" w:rsidDel="006430B4" w:rsidRDefault="00B269FF" w:rsidP="00BF2C40">
            <w:pPr>
              <w:tabs>
                <w:tab w:val="decimal" w:pos="1107"/>
              </w:tabs>
              <w:rPr>
                <w:rFonts w:ascii="Times New Roman" w:hAnsi="Times New Roman" w:cs="Times New Roman"/>
              </w:rPr>
            </w:pPr>
            <w:r w:rsidRPr="00B269FF">
              <w:rPr>
                <w:rFonts w:ascii="Times New Roman" w:hAnsi="Times New Roman" w:cs="Times New Roman"/>
              </w:rPr>
              <w:t>95</w:t>
            </w:r>
          </w:p>
        </w:tc>
        <w:tc>
          <w:tcPr>
            <w:tcW w:w="2154" w:type="dxa"/>
            <w:tcBorders>
              <w:top w:val="nil"/>
              <w:bottom w:val="nil"/>
            </w:tcBorders>
          </w:tcPr>
          <w:p w14:paraId="366B317F" w14:textId="594090C1" w:rsidR="00B269FF" w:rsidRPr="00B269FF" w:rsidDel="006430B4" w:rsidRDefault="00B269FF" w:rsidP="00BF2C40">
            <w:pPr>
              <w:tabs>
                <w:tab w:val="decimal" w:pos="1221"/>
              </w:tabs>
              <w:rPr>
                <w:rFonts w:ascii="Times New Roman" w:hAnsi="Times New Roman" w:cs="Times New Roman"/>
              </w:rPr>
            </w:pPr>
            <w:r w:rsidRPr="00B269FF">
              <w:rPr>
                <w:rFonts w:ascii="Times New Roman" w:hAnsi="Times New Roman" w:cs="Times New Roman"/>
              </w:rPr>
              <w:t>99</w:t>
            </w:r>
          </w:p>
        </w:tc>
      </w:tr>
      <w:tr w:rsidR="00B269FF" w:rsidRPr="00B824AA" w:rsidDel="006430B4" w14:paraId="5D281F6F" w14:textId="77777777" w:rsidTr="00866620">
        <w:tc>
          <w:tcPr>
            <w:tcW w:w="2551" w:type="dxa"/>
            <w:tcBorders>
              <w:top w:val="nil"/>
              <w:bottom w:val="nil"/>
            </w:tcBorders>
            <w:vAlign w:val="center"/>
          </w:tcPr>
          <w:p w14:paraId="1ADFFCE3" w14:textId="77777777" w:rsidR="00B269FF" w:rsidRPr="00B824AA" w:rsidDel="006430B4" w:rsidRDefault="00B269FF" w:rsidP="00BF2C40">
            <w:pPr>
              <w:ind w:left="316"/>
              <w:rPr>
                <w:rFonts w:ascii="Times New Roman" w:hAnsi="Times New Roman" w:cs="Times New Roman"/>
              </w:rPr>
            </w:pPr>
            <w:r w:rsidRPr="00B824AA" w:rsidDel="006430B4">
              <w:rPr>
                <w:rFonts w:ascii="Times New Roman" w:hAnsi="Times New Roman" w:cs="Times New Roman"/>
                <w:color w:val="000000"/>
              </w:rPr>
              <w:t>2020</w:t>
            </w:r>
          </w:p>
        </w:tc>
        <w:tc>
          <w:tcPr>
            <w:tcW w:w="2154" w:type="dxa"/>
            <w:tcBorders>
              <w:top w:val="nil"/>
              <w:bottom w:val="nil"/>
            </w:tcBorders>
          </w:tcPr>
          <w:p w14:paraId="1DF54CDC" w14:textId="1CFE1787" w:rsidR="00B269FF" w:rsidRPr="00B269FF" w:rsidDel="006430B4" w:rsidRDefault="00B269FF" w:rsidP="00BF2C40">
            <w:pPr>
              <w:tabs>
                <w:tab w:val="decimal" w:pos="1135"/>
              </w:tabs>
              <w:rPr>
                <w:rFonts w:ascii="Times New Roman" w:hAnsi="Times New Roman" w:cs="Times New Roman"/>
              </w:rPr>
            </w:pPr>
            <w:r w:rsidRPr="00B269FF">
              <w:rPr>
                <w:rFonts w:ascii="Times New Roman" w:hAnsi="Times New Roman" w:cs="Times New Roman"/>
              </w:rPr>
              <w:t>101</w:t>
            </w:r>
          </w:p>
        </w:tc>
        <w:tc>
          <w:tcPr>
            <w:tcW w:w="2154" w:type="dxa"/>
            <w:tcBorders>
              <w:top w:val="nil"/>
              <w:bottom w:val="nil"/>
            </w:tcBorders>
          </w:tcPr>
          <w:p w14:paraId="669256D5" w14:textId="5AD96098" w:rsidR="00B269FF" w:rsidRPr="00B269FF" w:rsidDel="006430B4" w:rsidRDefault="00B269FF" w:rsidP="00BF2C40">
            <w:pPr>
              <w:tabs>
                <w:tab w:val="decimal" w:pos="1107"/>
              </w:tabs>
              <w:rPr>
                <w:rFonts w:ascii="Times New Roman" w:hAnsi="Times New Roman" w:cs="Times New Roman"/>
              </w:rPr>
            </w:pPr>
            <w:r w:rsidRPr="00B269FF">
              <w:rPr>
                <w:rFonts w:ascii="Times New Roman" w:hAnsi="Times New Roman" w:cs="Times New Roman"/>
              </w:rPr>
              <w:t>101</w:t>
            </w:r>
          </w:p>
        </w:tc>
        <w:tc>
          <w:tcPr>
            <w:tcW w:w="2154" w:type="dxa"/>
            <w:tcBorders>
              <w:top w:val="nil"/>
              <w:bottom w:val="nil"/>
            </w:tcBorders>
          </w:tcPr>
          <w:p w14:paraId="171A0B17" w14:textId="605B9D27" w:rsidR="00B269FF" w:rsidRPr="00B269FF" w:rsidDel="006430B4" w:rsidRDefault="00B269FF" w:rsidP="00BF2C40">
            <w:pPr>
              <w:tabs>
                <w:tab w:val="decimal" w:pos="1221"/>
              </w:tabs>
              <w:rPr>
                <w:rFonts w:ascii="Times New Roman" w:hAnsi="Times New Roman" w:cs="Times New Roman"/>
              </w:rPr>
            </w:pPr>
            <w:r w:rsidRPr="00B269FF">
              <w:rPr>
                <w:rFonts w:ascii="Times New Roman" w:hAnsi="Times New Roman" w:cs="Times New Roman"/>
              </w:rPr>
              <w:t>100</w:t>
            </w:r>
          </w:p>
        </w:tc>
      </w:tr>
      <w:tr w:rsidR="00B269FF" w:rsidRPr="00B824AA" w14:paraId="12A952EE" w14:textId="77777777" w:rsidTr="00866620">
        <w:tc>
          <w:tcPr>
            <w:tcW w:w="2551" w:type="dxa"/>
            <w:tcBorders>
              <w:top w:val="nil"/>
              <w:left w:val="single" w:sz="4" w:space="0" w:color="auto"/>
              <w:bottom w:val="nil"/>
              <w:right w:val="single" w:sz="4" w:space="0" w:color="auto"/>
            </w:tcBorders>
            <w:vAlign w:val="center"/>
            <w:hideMark/>
          </w:tcPr>
          <w:p w14:paraId="0782E2DD" w14:textId="77777777" w:rsidR="00B269FF" w:rsidRPr="00B824AA" w:rsidRDefault="00B269FF" w:rsidP="00BF2C40">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tcPr>
          <w:p w14:paraId="4345FF2B" w14:textId="35A8DDA0" w:rsidR="00B269FF" w:rsidRPr="00B269FF" w:rsidRDefault="00B269FF" w:rsidP="00BF2C40">
            <w:pPr>
              <w:tabs>
                <w:tab w:val="decimal" w:pos="1135"/>
              </w:tabs>
              <w:rPr>
                <w:rFonts w:ascii="Times New Roman" w:hAnsi="Times New Roman" w:cs="Times New Roman"/>
                <w:color w:val="000000"/>
              </w:rPr>
            </w:pPr>
            <w:r w:rsidRPr="00B269FF">
              <w:rPr>
                <w:rFonts w:ascii="Times New Roman" w:hAnsi="Times New Roman" w:cs="Times New Roman"/>
              </w:rPr>
              <w:t>102</w:t>
            </w:r>
          </w:p>
        </w:tc>
        <w:tc>
          <w:tcPr>
            <w:tcW w:w="2154" w:type="dxa"/>
            <w:tcBorders>
              <w:top w:val="nil"/>
              <w:left w:val="single" w:sz="4" w:space="0" w:color="auto"/>
              <w:bottom w:val="nil"/>
              <w:right w:val="single" w:sz="4" w:space="0" w:color="auto"/>
            </w:tcBorders>
          </w:tcPr>
          <w:p w14:paraId="6F5AE804" w14:textId="2A4B11A7" w:rsidR="00B269FF" w:rsidRPr="00B269FF" w:rsidRDefault="00B269FF" w:rsidP="00BF2C40">
            <w:pPr>
              <w:tabs>
                <w:tab w:val="decimal" w:pos="1107"/>
              </w:tabs>
              <w:rPr>
                <w:rFonts w:ascii="Times New Roman" w:hAnsi="Times New Roman" w:cs="Times New Roman"/>
                <w:color w:val="000000"/>
              </w:rPr>
            </w:pPr>
            <w:r w:rsidRPr="00B269FF">
              <w:rPr>
                <w:rFonts w:ascii="Times New Roman" w:hAnsi="Times New Roman" w:cs="Times New Roman"/>
              </w:rPr>
              <w:t>103</w:t>
            </w:r>
          </w:p>
        </w:tc>
        <w:tc>
          <w:tcPr>
            <w:tcW w:w="2154" w:type="dxa"/>
            <w:tcBorders>
              <w:top w:val="nil"/>
              <w:left w:val="single" w:sz="4" w:space="0" w:color="auto"/>
              <w:bottom w:val="nil"/>
              <w:right w:val="single" w:sz="4" w:space="0" w:color="auto"/>
            </w:tcBorders>
          </w:tcPr>
          <w:p w14:paraId="0D83C1AA" w14:textId="1CF0F4EF" w:rsidR="00B269FF" w:rsidRPr="00B269FF" w:rsidRDefault="00B269FF" w:rsidP="00BF2C40">
            <w:pPr>
              <w:tabs>
                <w:tab w:val="decimal" w:pos="1221"/>
              </w:tabs>
              <w:rPr>
                <w:rFonts w:ascii="Times New Roman" w:hAnsi="Times New Roman" w:cs="Times New Roman"/>
                <w:color w:val="000000"/>
              </w:rPr>
            </w:pPr>
            <w:r w:rsidRPr="00B269FF">
              <w:rPr>
                <w:rFonts w:ascii="Times New Roman" w:hAnsi="Times New Roman" w:cs="Times New Roman"/>
              </w:rPr>
              <w:t>101</w:t>
            </w:r>
          </w:p>
        </w:tc>
      </w:tr>
      <w:tr w:rsidR="00B269FF" w:rsidRPr="00B824AA" w14:paraId="6C530BF0" w14:textId="77777777" w:rsidTr="00866620">
        <w:tc>
          <w:tcPr>
            <w:tcW w:w="2551" w:type="dxa"/>
            <w:tcBorders>
              <w:top w:val="nil"/>
              <w:left w:val="single" w:sz="4" w:space="0" w:color="auto"/>
              <w:bottom w:val="nil"/>
              <w:right w:val="single" w:sz="4" w:space="0" w:color="auto"/>
            </w:tcBorders>
            <w:vAlign w:val="center"/>
          </w:tcPr>
          <w:p w14:paraId="21863B40" w14:textId="48FDDBB7" w:rsidR="00B269FF" w:rsidRPr="00B824AA" w:rsidRDefault="00B269FF" w:rsidP="00BF2C40">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nil"/>
              <w:right w:val="single" w:sz="4" w:space="0" w:color="auto"/>
            </w:tcBorders>
          </w:tcPr>
          <w:p w14:paraId="359BDD18" w14:textId="62F13051" w:rsidR="00B269FF" w:rsidRPr="00B269FF" w:rsidRDefault="00B269FF" w:rsidP="00BF2C40">
            <w:pPr>
              <w:tabs>
                <w:tab w:val="decimal" w:pos="1135"/>
              </w:tabs>
              <w:rPr>
                <w:rFonts w:ascii="Times New Roman" w:hAnsi="Times New Roman" w:cs="Times New Roman"/>
                <w:color w:val="000000"/>
              </w:rPr>
            </w:pPr>
            <w:r w:rsidRPr="00B269FF">
              <w:rPr>
                <w:rFonts w:ascii="Times New Roman" w:hAnsi="Times New Roman" w:cs="Times New Roman"/>
              </w:rPr>
              <w:t>102</w:t>
            </w:r>
          </w:p>
        </w:tc>
        <w:tc>
          <w:tcPr>
            <w:tcW w:w="2154" w:type="dxa"/>
            <w:tcBorders>
              <w:top w:val="nil"/>
              <w:left w:val="single" w:sz="4" w:space="0" w:color="auto"/>
              <w:bottom w:val="nil"/>
              <w:right w:val="single" w:sz="4" w:space="0" w:color="auto"/>
            </w:tcBorders>
          </w:tcPr>
          <w:p w14:paraId="377DA934" w14:textId="59D775CE" w:rsidR="00B269FF" w:rsidRPr="00B269FF" w:rsidRDefault="00B269FF" w:rsidP="00BF2C40">
            <w:pPr>
              <w:tabs>
                <w:tab w:val="decimal" w:pos="1107"/>
              </w:tabs>
              <w:rPr>
                <w:rFonts w:ascii="Times New Roman" w:hAnsi="Times New Roman" w:cs="Times New Roman"/>
                <w:color w:val="000000"/>
              </w:rPr>
            </w:pPr>
            <w:r w:rsidRPr="00B269FF">
              <w:rPr>
                <w:rFonts w:ascii="Times New Roman" w:hAnsi="Times New Roman" w:cs="Times New Roman"/>
              </w:rPr>
              <w:t>103</w:t>
            </w:r>
          </w:p>
        </w:tc>
        <w:tc>
          <w:tcPr>
            <w:tcW w:w="2154" w:type="dxa"/>
            <w:tcBorders>
              <w:top w:val="nil"/>
              <w:left w:val="single" w:sz="4" w:space="0" w:color="auto"/>
              <w:bottom w:val="nil"/>
              <w:right w:val="single" w:sz="4" w:space="0" w:color="auto"/>
            </w:tcBorders>
          </w:tcPr>
          <w:p w14:paraId="6AD0EE4E" w14:textId="39CF4CA2" w:rsidR="00B269FF" w:rsidRPr="00B269FF" w:rsidRDefault="00B269FF" w:rsidP="00BF2C40">
            <w:pPr>
              <w:tabs>
                <w:tab w:val="decimal" w:pos="1221"/>
              </w:tabs>
              <w:rPr>
                <w:rFonts w:ascii="Times New Roman" w:hAnsi="Times New Roman" w:cs="Times New Roman"/>
                <w:color w:val="000000"/>
              </w:rPr>
            </w:pPr>
            <w:r w:rsidRPr="00B269FF">
              <w:rPr>
                <w:rFonts w:ascii="Times New Roman" w:hAnsi="Times New Roman" w:cs="Times New Roman"/>
              </w:rPr>
              <w:t>101</w:t>
            </w:r>
          </w:p>
        </w:tc>
      </w:tr>
      <w:tr w:rsidR="00392B71" w:rsidRPr="00B824AA" w:rsidDel="006430B4" w14:paraId="5795A902" w14:textId="77777777" w:rsidTr="009B1C4F">
        <w:tc>
          <w:tcPr>
            <w:tcW w:w="2551" w:type="dxa"/>
            <w:tcBorders>
              <w:top w:val="nil"/>
              <w:bottom w:val="nil"/>
            </w:tcBorders>
            <w:vAlign w:val="center"/>
          </w:tcPr>
          <w:p w14:paraId="7F3A1D4C" w14:textId="77777777" w:rsidR="00392B71" w:rsidRPr="00B824AA" w:rsidRDefault="00392B71" w:rsidP="00CC3BD8">
            <w:pPr>
              <w:ind w:left="316"/>
              <w:rPr>
                <w:rFonts w:ascii="Times New Roman" w:hAnsi="Times New Roman" w:cs="Times New Roman"/>
                <w:color w:val="000000"/>
              </w:rPr>
            </w:pPr>
          </w:p>
          <w:p w14:paraId="674ADA5C" w14:textId="04DF2279" w:rsidR="00392B71" w:rsidRPr="00B824AA" w:rsidDel="006430B4" w:rsidRDefault="00392B71" w:rsidP="00CC3BD8">
            <w:pPr>
              <w:ind w:left="316"/>
              <w:rPr>
                <w:rFonts w:ascii="Times New Roman" w:hAnsi="Times New Roman" w:cs="Times New Roman"/>
              </w:rPr>
            </w:pPr>
            <w:r w:rsidRPr="00B824AA" w:rsidDel="006430B4">
              <w:rPr>
                <w:rFonts w:ascii="Times New Roman" w:hAnsi="Times New Roman" w:cs="Times New Roman"/>
                <w:color w:val="000000"/>
              </w:rPr>
              <w:t>Mediana płac</w:t>
            </w:r>
          </w:p>
        </w:tc>
        <w:tc>
          <w:tcPr>
            <w:tcW w:w="2154" w:type="dxa"/>
            <w:tcBorders>
              <w:top w:val="nil"/>
              <w:bottom w:val="nil"/>
            </w:tcBorders>
            <w:vAlign w:val="bottom"/>
          </w:tcPr>
          <w:p w14:paraId="3DA7F0FC" w14:textId="77777777" w:rsidR="00392B71" w:rsidRPr="00B824AA" w:rsidDel="006430B4" w:rsidRDefault="00392B71" w:rsidP="00CC3BD8">
            <w:pPr>
              <w:tabs>
                <w:tab w:val="decimal" w:pos="1135"/>
              </w:tabs>
              <w:rPr>
                <w:rFonts w:ascii="Times New Roman" w:hAnsi="Times New Roman" w:cs="Times New Roman"/>
              </w:rPr>
            </w:pPr>
          </w:p>
        </w:tc>
        <w:tc>
          <w:tcPr>
            <w:tcW w:w="2154" w:type="dxa"/>
            <w:tcBorders>
              <w:top w:val="nil"/>
              <w:bottom w:val="nil"/>
            </w:tcBorders>
            <w:vAlign w:val="bottom"/>
          </w:tcPr>
          <w:p w14:paraId="6ED4CD29" w14:textId="77777777" w:rsidR="00392B71" w:rsidRPr="00B824AA" w:rsidDel="006430B4" w:rsidRDefault="00392B71" w:rsidP="00CC3BD8">
            <w:pPr>
              <w:tabs>
                <w:tab w:val="decimal" w:pos="1107"/>
              </w:tabs>
              <w:rPr>
                <w:rFonts w:ascii="Times New Roman" w:hAnsi="Times New Roman" w:cs="Times New Roman"/>
              </w:rPr>
            </w:pPr>
          </w:p>
        </w:tc>
        <w:tc>
          <w:tcPr>
            <w:tcW w:w="2154" w:type="dxa"/>
            <w:tcBorders>
              <w:top w:val="nil"/>
              <w:bottom w:val="nil"/>
            </w:tcBorders>
            <w:vAlign w:val="bottom"/>
          </w:tcPr>
          <w:p w14:paraId="74CF8106" w14:textId="77777777" w:rsidR="00392B71" w:rsidRPr="00B824AA" w:rsidDel="006430B4" w:rsidRDefault="00392B71" w:rsidP="00CC3BD8">
            <w:pPr>
              <w:tabs>
                <w:tab w:val="decimal" w:pos="1221"/>
              </w:tabs>
              <w:rPr>
                <w:rFonts w:ascii="Times New Roman" w:hAnsi="Times New Roman" w:cs="Times New Roman"/>
              </w:rPr>
            </w:pPr>
          </w:p>
        </w:tc>
      </w:tr>
      <w:tr w:rsidR="00CF35A5" w:rsidRPr="00B824AA" w:rsidDel="006430B4" w14:paraId="171EA709" w14:textId="77777777" w:rsidTr="00866620">
        <w:tc>
          <w:tcPr>
            <w:tcW w:w="2551" w:type="dxa"/>
            <w:tcBorders>
              <w:top w:val="nil"/>
              <w:bottom w:val="nil"/>
            </w:tcBorders>
            <w:vAlign w:val="center"/>
          </w:tcPr>
          <w:p w14:paraId="238185E0" w14:textId="77777777" w:rsidR="00CF35A5" w:rsidRPr="00B824AA" w:rsidDel="006430B4" w:rsidRDefault="00CF35A5" w:rsidP="000C695A">
            <w:pPr>
              <w:ind w:left="316"/>
              <w:rPr>
                <w:rFonts w:ascii="Times New Roman" w:hAnsi="Times New Roman" w:cs="Times New Roman"/>
              </w:rPr>
            </w:pPr>
            <w:r w:rsidRPr="00B824AA" w:rsidDel="006430B4">
              <w:rPr>
                <w:rFonts w:ascii="Times New Roman" w:hAnsi="Times New Roman" w:cs="Times New Roman"/>
                <w:color w:val="000000"/>
              </w:rPr>
              <w:t>2010</w:t>
            </w:r>
          </w:p>
        </w:tc>
        <w:tc>
          <w:tcPr>
            <w:tcW w:w="2154" w:type="dxa"/>
            <w:tcBorders>
              <w:top w:val="nil"/>
              <w:bottom w:val="nil"/>
            </w:tcBorders>
          </w:tcPr>
          <w:p w14:paraId="3AF9952D" w14:textId="64D457FE" w:rsidR="00CF35A5" w:rsidRPr="00CF35A5" w:rsidDel="006430B4" w:rsidRDefault="00CF35A5" w:rsidP="000C695A">
            <w:pPr>
              <w:tabs>
                <w:tab w:val="decimal" w:pos="1135"/>
              </w:tabs>
              <w:rPr>
                <w:rFonts w:ascii="Times New Roman" w:hAnsi="Times New Roman" w:cs="Times New Roman"/>
              </w:rPr>
            </w:pPr>
            <w:r w:rsidRPr="00CF35A5">
              <w:rPr>
                <w:rFonts w:ascii="Times New Roman" w:hAnsi="Times New Roman" w:cs="Times New Roman"/>
              </w:rPr>
              <w:t>62</w:t>
            </w:r>
          </w:p>
        </w:tc>
        <w:tc>
          <w:tcPr>
            <w:tcW w:w="2154" w:type="dxa"/>
            <w:tcBorders>
              <w:top w:val="nil"/>
              <w:bottom w:val="nil"/>
            </w:tcBorders>
          </w:tcPr>
          <w:p w14:paraId="13DCBF09" w14:textId="4140A0B0" w:rsidR="00CF35A5" w:rsidRPr="00CF35A5" w:rsidDel="006430B4" w:rsidRDefault="00CF35A5" w:rsidP="000C695A">
            <w:pPr>
              <w:tabs>
                <w:tab w:val="decimal" w:pos="1107"/>
              </w:tabs>
              <w:rPr>
                <w:rFonts w:ascii="Times New Roman" w:hAnsi="Times New Roman" w:cs="Times New Roman"/>
              </w:rPr>
            </w:pPr>
            <w:r w:rsidRPr="00CF35A5">
              <w:rPr>
                <w:rFonts w:ascii="Times New Roman" w:hAnsi="Times New Roman" w:cs="Times New Roman"/>
              </w:rPr>
              <w:t>54</w:t>
            </w:r>
          </w:p>
        </w:tc>
        <w:tc>
          <w:tcPr>
            <w:tcW w:w="2154" w:type="dxa"/>
            <w:tcBorders>
              <w:top w:val="nil"/>
              <w:bottom w:val="nil"/>
            </w:tcBorders>
          </w:tcPr>
          <w:p w14:paraId="16996E06" w14:textId="67614B9D" w:rsidR="00CF35A5" w:rsidRPr="00CF35A5" w:rsidDel="006430B4" w:rsidRDefault="00CF35A5" w:rsidP="000C695A">
            <w:pPr>
              <w:tabs>
                <w:tab w:val="decimal" w:pos="1221"/>
              </w:tabs>
              <w:rPr>
                <w:rFonts w:ascii="Times New Roman" w:hAnsi="Times New Roman" w:cs="Times New Roman"/>
              </w:rPr>
            </w:pPr>
            <w:r w:rsidRPr="00CF35A5">
              <w:rPr>
                <w:rFonts w:ascii="Times New Roman" w:hAnsi="Times New Roman" w:cs="Times New Roman"/>
              </w:rPr>
              <w:t>118</w:t>
            </w:r>
          </w:p>
        </w:tc>
      </w:tr>
      <w:tr w:rsidR="00CF35A5" w:rsidRPr="00B824AA" w:rsidDel="006430B4" w14:paraId="3EF7DE6C" w14:textId="77777777" w:rsidTr="00866620">
        <w:tc>
          <w:tcPr>
            <w:tcW w:w="2551" w:type="dxa"/>
            <w:tcBorders>
              <w:top w:val="nil"/>
              <w:bottom w:val="nil"/>
            </w:tcBorders>
            <w:vAlign w:val="center"/>
          </w:tcPr>
          <w:p w14:paraId="0DFAC95B" w14:textId="77777777" w:rsidR="00CF35A5" w:rsidRPr="00B824AA" w:rsidDel="006430B4" w:rsidRDefault="00CF35A5" w:rsidP="000C695A">
            <w:pPr>
              <w:ind w:left="316"/>
              <w:rPr>
                <w:rFonts w:ascii="Times New Roman" w:hAnsi="Times New Roman" w:cs="Times New Roman"/>
              </w:rPr>
            </w:pPr>
            <w:r w:rsidRPr="00B824AA" w:rsidDel="006430B4">
              <w:rPr>
                <w:rFonts w:ascii="Times New Roman" w:hAnsi="Times New Roman" w:cs="Times New Roman"/>
                <w:color w:val="000000"/>
              </w:rPr>
              <w:t>2015</w:t>
            </w:r>
          </w:p>
        </w:tc>
        <w:tc>
          <w:tcPr>
            <w:tcW w:w="2154" w:type="dxa"/>
            <w:tcBorders>
              <w:top w:val="nil"/>
              <w:bottom w:val="nil"/>
            </w:tcBorders>
          </w:tcPr>
          <w:p w14:paraId="690B6DAA" w14:textId="1A9EB169" w:rsidR="00CF35A5" w:rsidRPr="00CF35A5" w:rsidDel="006430B4" w:rsidRDefault="00CF35A5" w:rsidP="000C695A">
            <w:pPr>
              <w:tabs>
                <w:tab w:val="decimal" w:pos="1135"/>
              </w:tabs>
              <w:rPr>
                <w:rFonts w:ascii="Times New Roman" w:hAnsi="Times New Roman" w:cs="Times New Roman"/>
              </w:rPr>
            </w:pPr>
            <w:r w:rsidRPr="00CF35A5">
              <w:rPr>
                <w:rFonts w:ascii="Times New Roman" w:hAnsi="Times New Roman" w:cs="Times New Roman"/>
              </w:rPr>
              <w:t>66</w:t>
            </w:r>
          </w:p>
        </w:tc>
        <w:tc>
          <w:tcPr>
            <w:tcW w:w="2154" w:type="dxa"/>
            <w:tcBorders>
              <w:top w:val="nil"/>
              <w:bottom w:val="nil"/>
            </w:tcBorders>
          </w:tcPr>
          <w:p w14:paraId="767B0924" w14:textId="5508C7C9" w:rsidR="00CF35A5" w:rsidRPr="00CF35A5" w:rsidDel="006430B4" w:rsidRDefault="00CF35A5" w:rsidP="000C695A">
            <w:pPr>
              <w:tabs>
                <w:tab w:val="decimal" w:pos="1107"/>
              </w:tabs>
              <w:rPr>
                <w:rFonts w:ascii="Times New Roman" w:hAnsi="Times New Roman" w:cs="Times New Roman"/>
              </w:rPr>
            </w:pPr>
            <w:r w:rsidRPr="00CF35A5">
              <w:rPr>
                <w:rFonts w:ascii="Times New Roman" w:hAnsi="Times New Roman" w:cs="Times New Roman"/>
              </w:rPr>
              <w:t>57</w:t>
            </w:r>
          </w:p>
        </w:tc>
        <w:tc>
          <w:tcPr>
            <w:tcW w:w="2154" w:type="dxa"/>
            <w:tcBorders>
              <w:top w:val="nil"/>
              <w:bottom w:val="nil"/>
            </w:tcBorders>
          </w:tcPr>
          <w:p w14:paraId="691AA9FB" w14:textId="4CE53E2A" w:rsidR="00CF35A5" w:rsidRPr="00CF35A5" w:rsidDel="006430B4" w:rsidRDefault="00CF35A5" w:rsidP="000C695A">
            <w:pPr>
              <w:tabs>
                <w:tab w:val="decimal" w:pos="1221"/>
              </w:tabs>
              <w:rPr>
                <w:rFonts w:ascii="Times New Roman" w:hAnsi="Times New Roman" w:cs="Times New Roman"/>
              </w:rPr>
            </w:pPr>
            <w:r w:rsidRPr="00CF35A5">
              <w:rPr>
                <w:rFonts w:ascii="Times New Roman" w:hAnsi="Times New Roman" w:cs="Times New Roman"/>
              </w:rPr>
              <w:t>122</w:t>
            </w:r>
          </w:p>
        </w:tc>
      </w:tr>
      <w:tr w:rsidR="00CF35A5" w:rsidRPr="00B824AA" w:rsidDel="006430B4" w14:paraId="4D436B91" w14:textId="77777777" w:rsidTr="00866620">
        <w:tc>
          <w:tcPr>
            <w:tcW w:w="2551" w:type="dxa"/>
            <w:tcBorders>
              <w:top w:val="nil"/>
              <w:bottom w:val="nil"/>
            </w:tcBorders>
            <w:vAlign w:val="center"/>
          </w:tcPr>
          <w:p w14:paraId="461C9FB7" w14:textId="77777777" w:rsidR="00CF35A5" w:rsidRPr="00B824AA" w:rsidDel="006430B4" w:rsidRDefault="00CF35A5" w:rsidP="000C695A">
            <w:pPr>
              <w:ind w:left="316"/>
              <w:rPr>
                <w:rFonts w:ascii="Times New Roman" w:hAnsi="Times New Roman" w:cs="Times New Roman"/>
              </w:rPr>
            </w:pPr>
            <w:r w:rsidRPr="00B824AA" w:rsidDel="006430B4">
              <w:rPr>
                <w:rFonts w:ascii="Times New Roman" w:hAnsi="Times New Roman" w:cs="Times New Roman"/>
                <w:color w:val="000000"/>
              </w:rPr>
              <w:t>2020</w:t>
            </w:r>
          </w:p>
        </w:tc>
        <w:tc>
          <w:tcPr>
            <w:tcW w:w="2154" w:type="dxa"/>
            <w:tcBorders>
              <w:top w:val="nil"/>
              <w:bottom w:val="nil"/>
            </w:tcBorders>
          </w:tcPr>
          <w:p w14:paraId="5327F816" w14:textId="118EAA6D" w:rsidR="00CF35A5" w:rsidRPr="00CF35A5" w:rsidDel="006430B4" w:rsidRDefault="00CF35A5" w:rsidP="000C695A">
            <w:pPr>
              <w:tabs>
                <w:tab w:val="decimal" w:pos="1135"/>
              </w:tabs>
              <w:rPr>
                <w:rFonts w:ascii="Times New Roman" w:hAnsi="Times New Roman" w:cs="Times New Roman"/>
              </w:rPr>
            </w:pPr>
            <w:r w:rsidRPr="00CF35A5">
              <w:rPr>
                <w:rFonts w:ascii="Times New Roman" w:hAnsi="Times New Roman" w:cs="Times New Roman"/>
              </w:rPr>
              <w:t>70</w:t>
            </w:r>
          </w:p>
        </w:tc>
        <w:tc>
          <w:tcPr>
            <w:tcW w:w="2154" w:type="dxa"/>
            <w:tcBorders>
              <w:top w:val="nil"/>
              <w:bottom w:val="nil"/>
            </w:tcBorders>
          </w:tcPr>
          <w:p w14:paraId="3F653E35" w14:textId="292CD0EB" w:rsidR="00CF35A5" w:rsidRPr="00CF35A5" w:rsidDel="006430B4" w:rsidRDefault="00CF35A5" w:rsidP="000C695A">
            <w:pPr>
              <w:tabs>
                <w:tab w:val="decimal" w:pos="1107"/>
              </w:tabs>
              <w:rPr>
                <w:rFonts w:ascii="Times New Roman" w:hAnsi="Times New Roman" w:cs="Times New Roman"/>
              </w:rPr>
            </w:pPr>
            <w:r w:rsidRPr="00CF35A5">
              <w:rPr>
                <w:rFonts w:ascii="Times New Roman" w:hAnsi="Times New Roman" w:cs="Times New Roman"/>
              </w:rPr>
              <w:t>63</w:t>
            </w:r>
          </w:p>
        </w:tc>
        <w:tc>
          <w:tcPr>
            <w:tcW w:w="2154" w:type="dxa"/>
            <w:tcBorders>
              <w:top w:val="nil"/>
              <w:bottom w:val="nil"/>
            </w:tcBorders>
          </w:tcPr>
          <w:p w14:paraId="2A104568" w14:textId="37579F7D" w:rsidR="00CF35A5" w:rsidRPr="00CF35A5" w:rsidDel="006430B4" w:rsidRDefault="00CF35A5" w:rsidP="000C695A">
            <w:pPr>
              <w:tabs>
                <w:tab w:val="decimal" w:pos="1221"/>
              </w:tabs>
              <w:rPr>
                <w:rFonts w:ascii="Times New Roman" w:hAnsi="Times New Roman" w:cs="Times New Roman"/>
              </w:rPr>
            </w:pPr>
            <w:r w:rsidRPr="00CF35A5">
              <w:rPr>
                <w:rFonts w:ascii="Times New Roman" w:hAnsi="Times New Roman" w:cs="Times New Roman"/>
              </w:rPr>
              <w:t>111</w:t>
            </w:r>
          </w:p>
        </w:tc>
      </w:tr>
      <w:tr w:rsidR="00CF35A5" w:rsidRPr="00B824AA" w:rsidDel="006430B4" w14:paraId="7C6E6FEC" w14:textId="77777777" w:rsidTr="00866620">
        <w:tc>
          <w:tcPr>
            <w:tcW w:w="2551" w:type="dxa"/>
            <w:tcBorders>
              <w:top w:val="nil"/>
              <w:bottom w:val="nil"/>
            </w:tcBorders>
            <w:vAlign w:val="center"/>
          </w:tcPr>
          <w:p w14:paraId="25CE4C43" w14:textId="3BAB6C6C" w:rsidR="00CF35A5" w:rsidRPr="00B824AA" w:rsidDel="006430B4" w:rsidRDefault="00CF35A5" w:rsidP="000C695A">
            <w:pPr>
              <w:ind w:left="316"/>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bottom w:val="nil"/>
            </w:tcBorders>
          </w:tcPr>
          <w:p w14:paraId="765063EE" w14:textId="378E4944" w:rsidR="00CF35A5" w:rsidRPr="00CF35A5" w:rsidRDefault="00CF35A5" w:rsidP="000C695A">
            <w:pPr>
              <w:tabs>
                <w:tab w:val="decimal" w:pos="1135"/>
              </w:tabs>
              <w:rPr>
                <w:rFonts w:ascii="Times New Roman" w:hAnsi="Times New Roman" w:cs="Times New Roman"/>
                <w:color w:val="000000"/>
              </w:rPr>
            </w:pPr>
            <w:r w:rsidRPr="00CF35A5">
              <w:rPr>
                <w:rFonts w:ascii="Times New Roman" w:hAnsi="Times New Roman" w:cs="Times New Roman"/>
              </w:rPr>
              <w:t>70</w:t>
            </w:r>
          </w:p>
        </w:tc>
        <w:tc>
          <w:tcPr>
            <w:tcW w:w="2154" w:type="dxa"/>
            <w:tcBorders>
              <w:top w:val="nil"/>
              <w:bottom w:val="nil"/>
            </w:tcBorders>
          </w:tcPr>
          <w:p w14:paraId="05168724" w14:textId="689D7AC9" w:rsidR="00CF35A5" w:rsidRPr="00CF35A5" w:rsidRDefault="00CF35A5" w:rsidP="000C695A">
            <w:pPr>
              <w:tabs>
                <w:tab w:val="decimal" w:pos="1107"/>
              </w:tabs>
              <w:rPr>
                <w:rFonts w:ascii="Times New Roman" w:hAnsi="Times New Roman" w:cs="Times New Roman"/>
                <w:color w:val="000000"/>
              </w:rPr>
            </w:pPr>
            <w:r w:rsidRPr="00CF35A5">
              <w:rPr>
                <w:rFonts w:ascii="Times New Roman" w:hAnsi="Times New Roman" w:cs="Times New Roman"/>
              </w:rPr>
              <w:t>63</w:t>
            </w:r>
          </w:p>
        </w:tc>
        <w:tc>
          <w:tcPr>
            <w:tcW w:w="2154" w:type="dxa"/>
            <w:tcBorders>
              <w:top w:val="nil"/>
              <w:bottom w:val="nil"/>
            </w:tcBorders>
          </w:tcPr>
          <w:p w14:paraId="4C4B3649" w14:textId="7C7C5CFD" w:rsidR="00CF35A5" w:rsidRPr="00CF35A5" w:rsidRDefault="00CF35A5" w:rsidP="000C695A">
            <w:pPr>
              <w:tabs>
                <w:tab w:val="decimal" w:pos="1221"/>
              </w:tabs>
              <w:rPr>
                <w:rFonts w:ascii="Times New Roman" w:hAnsi="Times New Roman" w:cs="Times New Roman"/>
                <w:color w:val="000000"/>
              </w:rPr>
            </w:pPr>
            <w:r w:rsidRPr="00CF35A5">
              <w:rPr>
                <w:rFonts w:ascii="Times New Roman" w:hAnsi="Times New Roman" w:cs="Times New Roman"/>
              </w:rPr>
              <w:t>111</w:t>
            </w:r>
          </w:p>
        </w:tc>
      </w:tr>
      <w:tr w:rsidR="00CF35A5" w:rsidRPr="00B824AA" w:rsidDel="006430B4" w14:paraId="2F2BBAD6" w14:textId="77777777" w:rsidTr="00866620">
        <w:tc>
          <w:tcPr>
            <w:tcW w:w="2551" w:type="dxa"/>
            <w:tcBorders>
              <w:top w:val="nil"/>
              <w:bottom w:val="nil"/>
            </w:tcBorders>
            <w:vAlign w:val="center"/>
          </w:tcPr>
          <w:p w14:paraId="0262D7EF" w14:textId="3A6B4C6B" w:rsidR="00CF35A5" w:rsidRPr="00B824AA" w:rsidDel="006430B4" w:rsidRDefault="00CF35A5" w:rsidP="000C695A">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2502A033" w14:textId="4A084C4C" w:rsidR="00CF35A5" w:rsidRPr="00CF35A5" w:rsidRDefault="00CF35A5" w:rsidP="000C695A">
            <w:pPr>
              <w:tabs>
                <w:tab w:val="decimal" w:pos="1135"/>
              </w:tabs>
              <w:rPr>
                <w:rFonts w:ascii="Times New Roman" w:hAnsi="Times New Roman" w:cs="Times New Roman"/>
                <w:color w:val="000000"/>
              </w:rPr>
            </w:pPr>
            <w:r w:rsidRPr="00CF35A5">
              <w:rPr>
                <w:rFonts w:ascii="Times New Roman" w:hAnsi="Times New Roman" w:cs="Times New Roman"/>
              </w:rPr>
              <w:t>70</w:t>
            </w:r>
          </w:p>
        </w:tc>
        <w:tc>
          <w:tcPr>
            <w:tcW w:w="2154" w:type="dxa"/>
            <w:tcBorders>
              <w:top w:val="nil"/>
              <w:bottom w:val="nil"/>
            </w:tcBorders>
          </w:tcPr>
          <w:p w14:paraId="70C89D18" w14:textId="3B63D926" w:rsidR="00CF35A5" w:rsidRPr="00CF35A5" w:rsidRDefault="00CF35A5" w:rsidP="000C695A">
            <w:pPr>
              <w:tabs>
                <w:tab w:val="decimal" w:pos="1107"/>
              </w:tabs>
              <w:rPr>
                <w:rFonts w:ascii="Times New Roman" w:hAnsi="Times New Roman" w:cs="Times New Roman"/>
                <w:color w:val="000000"/>
              </w:rPr>
            </w:pPr>
            <w:r w:rsidRPr="00CF35A5">
              <w:rPr>
                <w:rFonts w:ascii="Times New Roman" w:hAnsi="Times New Roman" w:cs="Times New Roman"/>
              </w:rPr>
              <w:t>63</w:t>
            </w:r>
          </w:p>
        </w:tc>
        <w:tc>
          <w:tcPr>
            <w:tcW w:w="2154" w:type="dxa"/>
            <w:tcBorders>
              <w:top w:val="nil"/>
              <w:bottom w:val="nil"/>
            </w:tcBorders>
          </w:tcPr>
          <w:p w14:paraId="5B3F8705" w14:textId="008E62F8" w:rsidR="00CF35A5" w:rsidRPr="00CF35A5" w:rsidRDefault="00CF35A5" w:rsidP="000C695A">
            <w:pPr>
              <w:tabs>
                <w:tab w:val="decimal" w:pos="1221"/>
              </w:tabs>
              <w:rPr>
                <w:rFonts w:ascii="Times New Roman" w:hAnsi="Times New Roman" w:cs="Times New Roman"/>
                <w:color w:val="000000"/>
              </w:rPr>
            </w:pPr>
            <w:r w:rsidRPr="00CF35A5">
              <w:rPr>
                <w:rFonts w:ascii="Times New Roman" w:hAnsi="Times New Roman" w:cs="Times New Roman"/>
              </w:rPr>
              <w:t>111</w:t>
            </w:r>
          </w:p>
        </w:tc>
      </w:tr>
      <w:tr w:rsidR="00392B71" w:rsidRPr="00B824AA" w:rsidDel="006430B4" w14:paraId="4A215BA5" w14:textId="77777777" w:rsidTr="009B1C4F">
        <w:tc>
          <w:tcPr>
            <w:tcW w:w="2551" w:type="dxa"/>
            <w:tcBorders>
              <w:top w:val="nil"/>
              <w:bottom w:val="nil"/>
            </w:tcBorders>
          </w:tcPr>
          <w:p w14:paraId="7FC9A47B" w14:textId="77777777" w:rsidR="00392B71" w:rsidRPr="00B824AA" w:rsidRDefault="00392B71" w:rsidP="00CC3BD8">
            <w:pPr>
              <w:ind w:left="316"/>
              <w:rPr>
                <w:rFonts w:ascii="Times New Roman" w:hAnsi="Times New Roman" w:cs="Times New Roman"/>
                <w:color w:val="000000"/>
              </w:rPr>
            </w:pPr>
          </w:p>
          <w:p w14:paraId="2E8269C7" w14:textId="7382E64A" w:rsidR="00392B71" w:rsidRPr="00B824AA" w:rsidDel="006430B4" w:rsidRDefault="00392B71" w:rsidP="00CC3BD8">
            <w:pPr>
              <w:ind w:left="316"/>
              <w:rPr>
                <w:rFonts w:ascii="Times New Roman" w:hAnsi="Times New Roman" w:cs="Times New Roman"/>
              </w:rPr>
            </w:pPr>
            <w:r w:rsidRPr="00B824AA" w:rsidDel="006430B4">
              <w:rPr>
                <w:rFonts w:ascii="Times New Roman" w:hAnsi="Times New Roman" w:cs="Times New Roman"/>
                <w:color w:val="000000"/>
              </w:rPr>
              <w:t>Wskaźnik równości płci</w:t>
            </w:r>
          </w:p>
        </w:tc>
        <w:tc>
          <w:tcPr>
            <w:tcW w:w="2154" w:type="dxa"/>
            <w:tcBorders>
              <w:top w:val="nil"/>
              <w:bottom w:val="nil"/>
            </w:tcBorders>
          </w:tcPr>
          <w:p w14:paraId="5C20B170" w14:textId="77777777" w:rsidR="00392B71" w:rsidRPr="00B824AA" w:rsidDel="006430B4" w:rsidRDefault="00392B71" w:rsidP="00CC3BD8">
            <w:pPr>
              <w:tabs>
                <w:tab w:val="decimal" w:pos="1135"/>
              </w:tabs>
              <w:rPr>
                <w:rFonts w:ascii="Times New Roman" w:hAnsi="Times New Roman" w:cs="Times New Roman"/>
              </w:rPr>
            </w:pPr>
          </w:p>
        </w:tc>
        <w:tc>
          <w:tcPr>
            <w:tcW w:w="2154" w:type="dxa"/>
            <w:tcBorders>
              <w:top w:val="nil"/>
              <w:bottom w:val="nil"/>
            </w:tcBorders>
          </w:tcPr>
          <w:p w14:paraId="6D43EDBA" w14:textId="77777777" w:rsidR="00392B71" w:rsidRPr="00B824AA" w:rsidDel="006430B4" w:rsidRDefault="00392B71" w:rsidP="00CC3BD8">
            <w:pPr>
              <w:tabs>
                <w:tab w:val="decimal" w:pos="1107"/>
              </w:tabs>
              <w:rPr>
                <w:rFonts w:ascii="Times New Roman" w:hAnsi="Times New Roman" w:cs="Times New Roman"/>
              </w:rPr>
            </w:pPr>
          </w:p>
        </w:tc>
        <w:tc>
          <w:tcPr>
            <w:tcW w:w="2154" w:type="dxa"/>
            <w:tcBorders>
              <w:top w:val="nil"/>
              <w:bottom w:val="nil"/>
            </w:tcBorders>
          </w:tcPr>
          <w:p w14:paraId="6203E2D1" w14:textId="77777777" w:rsidR="00392B71" w:rsidRPr="00B824AA" w:rsidDel="006430B4" w:rsidRDefault="00392B71" w:rsidP="00CC3BD8">
            <w:pPr>
              <w:tabs>
                <w:tab w:val="decimal" w:pos="1221"/>
              </w:tabs>
              <w:rPr>
                <w:rFonts w:ascii="Times New Roman" w:hAnsi="Times New Roman" w:cs="Times New Roman"/>
              </w:rPr>
            </w:pPr>
          </w:p>
        </w:tc>
      </w:tr>
      <w:tr w:rsidR="003C5901" w:rsidRPr="00B824AA" w:rsidDel="006430B4" w14:paraId="1F883608" w14:textId="77777777" w:rsidTr="00866620">
        <w:tc>
          <w:tcPr>
            <w:tcW w:w="2551" w:type="dxa"/>
            <w:tcBorders>
              <w:top w:val="nil"/>
              <w:bottom w:val="nil"/>
            </w:tcBorders>
          </w:tcPr>
          <w:p w14:paraId="7CC59C1C" w14:textId="77777777" w:rsidR="003C5901" w:rsidRPr="00B824AA" w:rsidDel="006430B4" w:rsidRDefault="003C5901" w:rsidP="00433AAB">
            <w:pPr>
              <w:ind w:left="316"/>
              <w:rPr>
                <w:rFonts w:ascii="Times New Roman" w:hAnsi="Times New Roman" w:cs="Times New Roman"/>
              </w:rPr>
            </w:pPr>
            <w:r w:rsidRPr="00B824AA" w:rsidDel="006430B4">
              <w:rPr>
                <w:rFonts w:ascii="Times New Roman" w:hAnsi="Times New Roman" w:cs="Times New Roman"/>
                <w:color w:val="000000"/>
              </w:rPr>
              <w:t>2010</w:t>
            </w:r>
          </w:p>
        </w:tc>
        <w:tc>
          <w:tcPr>
            <w:tcW w:w="2154" w:type="dxa"/>
            <w:tcBorders>
              <w:top w:val="nil"/>
              <w:bottom w:val="nil"/>
            </w:tcBorders>
          </w:tcPr>
          <w:p w14:paraId="4402CFD7" w14:textId="419D05CB" w:rsidR="003C5901" w:rsidRPr="003C5901" w:rsidDel="006430B4" w:rsidRDefault="003C5901" w:rsidP="00433AAB">
            <w:pPr>
              <w:tabs>
                <w:tab w:val="decimal" w:pos="1135"/>
              </w:tabs>
              <w:rPr>
                <w:rFonts w:ascii="Times New Roman" w:hAnsi="Times New Roman" w:cs="Times New Roman"/>
              </w:rPr>
            </w:pPr>
            <w:r w:rsidRPr="003C5901">
              <w:rPr>
                <w:rFonts w:ascii="Times New Roman" w:hAnsi="Times New Roman" w:cs="Times New Roman"/>
              </w:rPr>
              <w:t>91</w:t>
            </w:r>
          </w:p>
        </w:tc>
        <w:tc>
          <w:tcPr>
            <w:tcW w:w="2154" w:type="dxa"/>
            <w:tcBorders>
              <w:top w:val="nil"/>
              <w:bottom w:val="nil"/>
            </w:tcBorders>
          </w:tcPr>
          <w:p w14:paraId="3AEC33B6" w14:textId="3FF41F94" w:rsidR="003C5901" w:rsidRPr="003C5901" w:rsidDel="006430B4" w:rsidRDefault="003C5901" w:rsidP="00433AAB">
            <w:pPr>
              <w:tabs>
                <w:tab w:val="decimal" w:pos="1107"/>
              </w:tabs>
              <w:rPr>
                <w:rFonts w:ascii="Times New Roman" w:hAnsi="Times New Roman" w:cs="Times New Roman"/>
              </w:rPr>
            </w:pPr>
            <w:r w:rsidRPr="003C5901">
              <w:rPr>
                <w:rFonts w:ascii="Times New Roman" w:hAnsi="Times New Roman" w:cs="Times New Roman"/>
              </w:rPr>
              <w:t>87</w:t>
            </w:r>
          </w:p>
        </w:tc>
        <w:tc>
          <w:tcPr>
            <w:tcW w:w="2154" w:type="dxa"/>
            <w:tcBorders>
              <w:top w:val="nil"/>
              <w:bottom w:val="nil"/>
            </w:tcBorders>
          </w:tcPr>
          <w:p w14:paraId="1288A755" w14:textId="136C3AA6" w:rsidR="003C5901" w:rsidRPr="003C5901" w:rsidDel="006430B4" w:rsidRDefault="003C5901" w:rsidP="00433AAB">
            <w:pPr>
              <w:tabs>
                <w:tab w:val="decimal" w:pos="1221"/>
              </w:tabs>
              <w:rPr>
                <w:rFonts w:ascii="Times New Roman" w:hAnsi="Times New Roman" w:cs="Times New Roman"/>
              </w:rPr>
            </w:pPr>
            <w:r w:rsidRPr="003C5901">
              <w:rPr>
                <w:rFonts w:ascii="Times New Roman" w:hAnsi="Times New Roman" w:cs="Times New Roman"/>
              </w:rPr>
              <w:t>103</w:t>
            </w:r>
          </w:p>
        </w:tc>
      </w:tr>
      <w:tr w:rsidR="003C5901" w:rsidRPr="00B824AA" w:rsidDel="006430B4" w14:paraId="638326F1" w14:textId="77777777" w:rsidTr="00866620">
        <w:tc>
          <w:tcPr>
            <w:tcW w:w="2551" w:type="dxa"/>
            <w:tcBorders>
              <w:top w:val="nil"/>
              <w:bottom w:val="nil"/>
            </w:tcBorders>
          </w:tcPr>
          <w:p w14:paraId="478D95B1" w14:textId="77777777" w:rsidR="003C5901" w:rsidRPr="00B824AA" w:rsidDel="006430B4" w:rsidRDefault="003C5901" w:rsidP="00433AAB">
            <w:pPr>
              <w:ind w:left="316"/>
              <w:rPr>
                <w:rFonts w:ascii="Times New Roman" w:hAnsi="Times New Roman" w:cs="Times New Roman"/>
              </w:rPr>
            </w:pPr>
            <w:r w:rsidRPr="00B824AA" w:rsidDel="006430B4">
              <w:rPr>
                <w:rFonts w:ascii="Times New Roman" w:hAnsi="Times New Roman" w:cs="Times New Roman"/>
                <w:color w:val="000000"/>
              </w:rPr>
              <w:t>2015</w:t>
            </w:r>
          </w:p>
        </w:tc>
        <w:tc>
          <w:tcPr>
            <w:tcW w:w="2154" w:type="dxa"/>
            <w:tcBorders>
              <w:top w:val="nil"/>
              <w:bottom w:val="nil"/>
            </w:tcBorders>
          </w:tcPr>
          <w:p w14:paraId="1DB47767" w14:textId="3A12A987" w:rsidR="003C5901" w:rsidRPr="003C5901" w:rsidDel="006430B4" w:rsidRDefault="003C5901" w:rsidP="00433AAB">
            <w:pPr>
              <w:tabs>
                <w:tab w:val="decimal" w:pos="1135"/>
              </w:tabs>
              <w:rPr>
                <w:rFonts w:ascii="Times New Roman" w:hAnsi="Times New Roman" w:cs="Times New Roman"/>
              </w:rPr>
            </w:pPr>
            <w:r w:rsidRPr="003C5901">
              <w:rPr>
                <w:rFonts w:ascii="Times New Roman" w:hAnsi="Times New Roman" w:cs="Times New Roman"/>
              </w:rPr>
              <w:t>88</w:t>
            </w:r>
          </w:p>
        </w:tc>
        <w:tc>
          <w:tcPr>
            <w:tcW w:w="2154" w:type="dxa"/>
            <w:tcBorders>
              <w:top w:val="nil"/>
              <w:bottom w:val="nil"/>
            </w:tcBorders>
          </w:tcPr>
          <w:p w14:paraId="2F556490" w14:textId="78FE74DC" w:rsidR="003C5901" w:rsidRPr="003C5901" w:rsidDel="006430B4" w:rsidRDefault="003C5901" w:rsidP="00433AAB">
            <w:pPr>
              <w:tabs>
                <w:tab w:val="decimal" w:pos="1107"/>
              </w:tabs>
              <w:rPr>
                <w:rFonts w:ascii="Times New Roman" w:hAnsi="Times New Roman" w:cs="Times New Roman"/>
              </w:rPr>
            </w:pPr>
            <w:r w:rsidRPr="003C5901">
              <w:rPr>
                <w:rFonts w:ascii="Times New Roman" w:hAnsi="Times New Roman" w:cs="Times New Roman"/>
              </w:rPr>
              <w:t>84</w:t>
            </w:r>
          </w:p>
        </w:tc>
        <w:tc>
          <w:tcPr>
            <w:tcW w:w="2154" w:type="dxa"/>
            <w:tcBorders>
              <w:top w:val="nil"/>
              <w:bottom w:val="nil"/>
            </w:tcBorders>
          </w:tcPr>
          <w:p w14:paraId="79FFC05A" w14:textId="54D60D70" w:rsidR="003C5901" w:rsidRPr="003C5901" w:rsidDel="006430B4" w:rsidRDefault="003C5901" w:rsidP="00433AAB">
            <w:pPr>
              <w:tabs>
                <w:tab w:val="decimal" w:pos="1221"/>
              </w:tabs>
              <w:rPr>
                <w:rFonts w:ascii="Times New Roman" w:hAnsi="Times New Roman" w:cs="Times New Roman"/>
              </w:rPr>
            </w:pPr>
            <w:r w:rsidRPr="003C5901">
              <w:rPr>
                <w:rFonts w:ascii="Times New Roman" w:hAnsi="Times New Roman" w:cs="Times New Roman"/>
              </w:rPr>
              <w:t>103</w:t>
            </w:r>
          </w:p>
        </w:tc>
      </w:tr>
      <w:tr w:rsidR="003C5901" w:rsidRPr="00B824AA" w:rsidDel="006430B4" w14:paraId="591F5915" w14:textId="77777777" w:rsidTr="00866620">
        <w:tc>
          <w:tcPr>
            <w:tcW w:w="2551" w:type="dxa"/>
            <w:tcBorders>
              <w:top w:val="nil"/>
              <w:bottom w:val="nil"/>
            </w:tcBorders>
          </w:tcPr>
          <w:p w14:paraId="3979DB45" w14:textId="77777777" w:rsidR="003C5901" w:rsidRPr="00B824AA" w:rsidDel="006430B4" w:rsidRDefault="003C5901" w:rsidP="00433AAB">
            <w:pPr>
              <w:ind w:left="316"/>
              <w:rPr>
                <w:rFonts w:ascii="Times New Roman" w:hAnsi="Times New Roman" w:cs="Times New Roman"/>
              </w:rPr>
            </w:pPr>
            <w:r w:rsidRPr="00B824AA" w:rsidDel="006430B4">
              <w:rPr>
                <w:rFonts w:ascii="Times New Roman" w:hAnsi="Times New Roman" w:cs="Times New Roman"/>
                <w:color w:val="000000"/>
              </w:rPr>
              <w:t>2020</w:t>
            </w:r>
          </w:p>
        </w:tc>
        <w:tc>
          <w:tcPr>
            <w:tcW w:w="2154" w:type="dxa"/>
            <w:tcBorders>
              <w:top w:val="nil"/>
              <w:bottom w:val="nil"/>
            </w:tcBorders>
          </w:tcPr>
          <w:p w14:paraId="12DDB93D" w14:textId="32CE62B9" w:rsidR="003C5901" w:rsidRPr="003C5901" w:rsidDel="006430B4" w:rsidRDefault="003C5901" w:rsidP="00433AAB">
            <w:pPr>
              <w:tabs>
                <w:tab w:val="decimal" w:pos="1135"/>
              </w:tabs>
              <w:rPr>
                <w:rFonts w:ascii="Times New Roman" w:hAnsi="Times New Roman" w:cs="Times New Roman"/>
              </w:rPr>
            </w:pPr>
            <w:r w:rsidRPr="003C5901">
              <w:rPr>
                <w:rFonts w:ascii="Times New Roman" w:hAnsi="Times New Roman" w:cs="Times New Roman"/>
              </w:rPr>
              <w:t>84</w:t>
            </w:r>
          </w:p>
        </w:tc>
        <w:tc>
          <w:tcPr>
            <w:tcW w:w="2154" w:type="dxa"/>
            <w:tcBorders>
              <w:top w:val="nil"/>
              <w:bottom w:val="nil"/>
            </w:tcBorders>
          </w:tcPr>
          <w:p w14:paraId="5F182476" w14:textId="32AE0F4D" w:rsidR="003C5901" w:rsidRPr="003C5901" w:rsidDel="006430B4" w:rsidRDefault="003C5901" w:rsidP="00433AAB">
            <w:pPr>
              <w:tabs>
                <w:tab w:val="decimal" w:pos="1107"/>
              </w:tabs>
              <w:rPr>
                <w:rFonts w:ascii="Times New Roman" w:hAnsi="Times New Roman" w:cs="Times New Roman"/>
              </w:rPr>
            </w:pPr>
            <w:r w:rsidRPr="003C5901">
              <w:rPr>
                <w:rFonts w:ascii="Times New Roman" w:hAnsi="Times New Roman" w:cs="Times New Roman"/>
              </w:rPr>
              <w:t>80</w:t>
            </w:r>
          </w:p>
        </w:tc>
        <w:tc>
          <w:tcPr>
            <w:tcW w:w="2154" w:type="dxa"/>
            <w:tcBorders>
              <w:top w:val="nil"/>
              <w:bottom w:val="nil"/>
            </w:tcBorders>
          </w:tcPr>
          <w:p w14:paraId="3C3BB1C3" w14:textId="5A8DCA5F" w:rsidR="003C5901" w:rsidRPr="003C5901" w:rsidDel="006430B4" w:rsidRDefault="003C5901" w:rsidP="00433AAB">
            <w:pPr>
              <w:tabs>
                <w:tab w:val="decimal" w:pos="1221"/>
              </w:tabs>
              <w:rPr>
                <w:rFonts w:ascii="Times New Roman" w:hAnsi="Times New Roman" w:cs="Times New Roman"/>
              </w:rPr>
            </w:pPr>
            <w:r w:rsidRPr="003C5901">
              <w:rPr>
                <w:rFonts w:ascii="Times New Roman" w:hAnsi="Times New Roman" w:cs="Times New Roman"/>
              </w:rPr>
              <w:t>100</w:t>
            </w:r>
          </w:p>
        </w:tc>
      </w:tr>
      <w:tr w:rsidR="003C5901" w:rsidRPr="00B824AA" w:rsidDel="006430B4" w14:paraId="5517772B" w14:textId="77777777" w:rsidTr="00866620">
        <w:tc>
          <w:tcPr>
            <w:tcW w:w="2551" w:type="dxa"/>
            <w:tcBorders>
              <w:top w:val="nil"/>
              <w:bottom w:val="nil"/>
            </w:tcBorders>
          </w:tcPr>
          <w:p w14:paraId="2B8062CE" w14:textId="6CB7AC94" w:rsidR="003C5901" w:rsidRPr="00B824AA" w:rsidDel="006430B4" w:rsidRDefault="003C5901" w:rsidP="00433AAB">
            <w:pPr>
              <w:ind w:left="316"/>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bottom w:val="nil"/>
            </w:tcBorders>
          </w:tcPr>
          <w:p w14:paraId="775B3DFE" w14:textId="0C9990B5" w:rsidR="003C5901" w:rsidRPr="003C5901" w:rsidRDefault="003C5901" w:rsidP="00433AAB">
            <w:pPr>
              <w:tabs>
                <w:tab w:val="decimal" w:pos="1135"/>
              </w:tabs>
              <w:rPr>
                <w:rFonts w:ascii="Times New Roman" w:hAnsi="Times New Roman" w:cs="Times New Roman"/>
                <w:color w:val="000000"/>
              </w:rPr>
            </w:pPr>
            <w:r w:rsidRPr="003C5901">
              <w:rPr>
                <w:rFonts w:ascii="Times New Roman" w:hAnsi="Times New Roman" w:cs="Times New Roman"/>
              </w:rPr>
              <w:t>89</w:t>
            </w:r>
          </w:p>
        </w:tc>
        <w:tc>
          <w:tcPr>
            <w:tcW w:w="2154" w:type="dxa"/>
            <w:tcBorders>
              <w:top w:val="nil"/>
              <w:bottom w:val="nil"/>
            </w:tcBorders>
          </w:tcPr>
          <w:p w14:paraId="026637B8" w14:textId="7A511C55" w:rsidR="003C5901" w:rsidRPr="003C5901" w:rsidRDefault="003C5901" w:rsidP="00433AAB">
            <w:pPr>
              <w:tabs>
                <w:tab w:val="decimal" w:pos="1107"/>
              </w:tabs>
              <w:rPr>
                <w:rFonts w:ascii="Times New Roman" w:hAnsi="Times New Roman" w:cs="Times New Roman"/>
                <w:color w:val="000000"/>
              </w:rPr>
            </w:pPr>
            <w:r w:rsidRPr="003C5901">
              <w:rPr>
                <w:rFonts w:ascii="Times New Roman" w:hAnsi="Times New Roman" w:cs="Times New Roman"/>
              </w:rPr>
              <w:t>85</w:t>
            </w:r>
          </w:p>
        </w:tc>
        <w:tc>
          <w:tcPr>
            <w:tcW w:w="2154" w:type="dxa"/>
            <w:tcBorders>
              <w:top w:val="nil"/>
              <w:bottom w:val="nil"/>
            </w:tcBorders>
          </w:tcPr>
          <w:p w14:paraId="26744212" w14:textId="14B8EC02" w:rsidR="003C5901" w:rsidRPr="003C5901" w:rsidRDefault="003C5901" w:rsidP="00433AAB">
            <w:pPr>
              <w:tabs>
                <w:tab w:val="decimal" w:pos="1221"/>
              </w:tabs>
              <w:rPr>
                <w:rFonts w:ascii="Times New Roman" w:hAnsi="Times New Roman" w:cs="Times New Roman"/>
                <w:color w:val="000000"/>
              </w:rPr>
            </w:pPr>
            <w:r w:rsidRPr="003C5901">
              <w:rPr>
                <w:rFonts w:ascii="Times New Roman" w:hAnsi="Times New Roman" w:cs="Times New Roman"/>
              </w:rPr>
              <w:t>103</w:t>
            </w:r>
          </w:p>
        </w:tc>
      </w:tr>
      <w:tr w:rsidR="003C5901" w:rsidRPr="00B824AA" w:rsidDel="006430B4" w14:paraId="20B79D8C" w14:textId="77777777" w:rsidTr="00866620">
        <w:tc>
          <w:tcPr>
            <w:tcW w:w="2551" w:type="dxa"/>
            <w:tcBorders>
              <w:top w:val="nil"/>
              <w:bottom w:val="nil"/>
            </w:tcBorders>
          </w:tcPr>
          <w:p w14:paraId="3674786D" w14:textId="3F23BB3B" w:rsidR="003C5901" w:rsidRDefault="003C5901" w:rsidP="00433AAB">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2D3CC63D" w14:textId="1542B743" w:rsidR="003C5901" w:rsidRPr="003C5901" w:rsidRDefault="003C5901" w:rsidP="00433AAB">
            <w:pPr>
              <w:tabs>
                <w:tab w:val="decimal" w:pos="1135"/>
              </w:tabs>
              <w:rPr>
                <w:rFonts w:ascii="Times New Roman" w:hAnsi="Times New Roman" w:cs="Times New Roman"/>
                <w:color w:val="000000"/>
              </w:rPr>
            </w:pPr>
            <w:r w:rsidRPr="003C5901">
              <w:rPr>
                <w:rFonts w:ascii="Times New Roman" w:hAnsi="Times New Roman" w:cs="Times New Roman"/>
              </w:rPr>
              <w:t>89</w:t>
            </w:r>
          </w:p>
        </w:tc>
        <w:tc>
          <w:tcPr>
            <w:tcW w:w="2154" w:type="dxa"/>
            <w:tcBorders>
              <w:top w:val="nil"/>
              <w:bottom w:val="nil"/>
            </w:tcBorders>
          </w:tcPr>
          <w:p w14:paraId="0F8DE76F" w14:textId="3B7D3119" w:rsidR="003C5901" w:rsidRPr="003C5901" w:rsidRDefault="003C5901" w:rsidP="00433AAB">
            <w:pPr>
              <w:tabs>
                <w:tab w:val="decimal" w:pos="1107"/>
              </w:tabs>
              <w:rPr>
                <w:rFonts w:ascii="Times New Roman" w:hAnsi="Times New Roman" w:cs="Times New Roman"/>
                <w:color w:val="000000"/>
              </w:rPr>
            </w:pPr>
            <w:r w:rsidRPr="003C5901">
              <w:rPr>
                <w:rFonts w:ascii="Times New Roman" w:hAnsi="Times New Roman" w:cs="Times New Roman"/>
              </w:rPr>
              <w:t>85</w:t>
            </w:r>
          </w:p>
        </w:tc>
        <w:tc>
          <w:tcPr>
            <w:tcW w:w="2154" w:type="dxa"/>
            <w:tcBorders>
              <w:top w:val="nil"/>
              <w:bottom w:val="nil"/>
            </w:tcBorders>
          </w:tcPr>
          <w:p w14:paraId="51F4358F" w14:textId="4CD168EB" w:rsidR="003C5901" w:rsidRPr="003C5901" w:rsidRDefault="003C5901" w:rsidP="00433AAB">
            <w:pPr>
              <w:tabs>
                <w:tab w:val="decimal" w:pos="1221"/>
              </w:tabs>
              <w:rPr>
                <w:rFonts w:ascii="Times New Roman" w:hAnsi="Times New Roman" w:cs="Times New Roman"/>
                <w:color w:val="000000"/>
              </w:rPr>
            </w:pPr>
            <w:r w:rsidRPr="003C5901">
              <w:rPr>
                <w:rFonts w:ascii="Times New Roman" w:hAnsi="Times New Roman" w:cs="Times New Roman"/>
              </w:rPr>
              <w:t>103</w:t>
            </w:r>
          </w:p>
        </w:tc>
      </w:tr>
      <w:tr w:rsidR="00392B71" w:rsidRPr="00B824AA" w:rsidDel="006430B4" w14:paraId="3CC85166" w14:textId="77777777" w:rsidTr="009B1C4F">
        <w:tc>
          <w:tcPr>
            <w:tcW w:w="2551" w:type="dxa"/>
            <w:tcBorders>
              <w:top w:val="nil"/>
              <w:bottom w:val="nil"/>
            </w:tcBorders>
          </w:tcPr>
          <w:p w14:paraId="3141F9F8" w14:textId="77777777" w:rsidR="00392B71" w:rsidRPr="00B824AA" w:rsidRDefault="00392B71" w:rsidP="00CC3BD8">
            <w:pPr>
              <w:ind w:left="316"/>
              <w:rPr>
                <w:rFonts w:ascii="Times New Roman" w:hAnsi="Times New Roman" w:cs="Times New Roman"/>
              </w:rPr>
            </w:pPr>
          </w:p>
          <w:p w14:paraId="22A97344" w14:textId="75B80FC5" w:rsidR="00392B71" w:rsidRPr="00B824AA" w:rsidDel="006430B4" w:rsidRDefault="00392B71" w:rsidP="00CC3BD8">
            <w:pPr>
              <w:ind w:left="316"/>
              <w:rPr>
                <w:rFonts w:ascii="Times New Roman" w:hAnsi="Times New Roman" w:cs="Times New Roman"/>
              </w:rPr>
            </w:pPr>
            <w:r w:rsidRPr="00B824AA" w:rsidDel="006430B4">
              <w:rPr>
                <w:rFonts w:ascii="Times New Roman" w:hAnsi="Times New Roman" w:cs="Times New Roman"/>
              </w:rPr>
              <w:t>Stabilność zatrudnienia</w:t>
            </w:r>
          </w:p>
        </w:tc>
        <w:tc>
          <w:tcPr>
            <w:tcW w:w="2154" w:type="dxa"/>
            <w:tcBorders>
              <w:top w:val="nil"/>
              <w:bottom w:val="nil"/>
            </w:tcBorders>
          </w:tcPr>
          <w:p w14:paraId="59B7BC1D" w14:textId="77777777" w:rsidR="00392B71" w:rsidRPr="00B824AA" w:rsidDel="006430B4" w:rsidRDefault="00392B71" w:rsidP="00CC3BD8">
            <w:pPr>
              <w:tabs>
                <w:tab w:val="decimal" w:pos="1135"/>
              </w:tabs>
              <w:rPr>
                <w:rFonts w:ascii="Times New Roman" w:hAnsi="Times New Roman" w:cs="Times New Roman"/>
              </w:rPr>
            </w:pPr>
          </w:p>
        </w:tc>
        <w:tc>
          <w:tcPr>
            <w:tcW w:w="2154" w:type="dxa"/>
            <w:tcBorders>
              <w:top w:val="nil"/>
              <w:bottom w:val="nil"/>
            </w:tcBorders>
          </w:tcPr>
          <w:p w14:paraId="78B87827" w14:textId="77777777" w:rsidR="00392B71" w:rsidRPr="00B824AA" w:rsidDel="006430B4" w:rsidRDefault="00392B71" w:rsidP="00CC3BD8">
            <w:pPr>
              <w:tabs>
                <w:tab w:val="decimal" w:pos="1107"/>
              </w:tabs>
              <w:rPr>
                <w:rFonts w:ascii="Times New Roman" w:hAnsi="Times New Roman" w:cs="Times New Roman"/>
              </w:rPr>
            </w:pPr>
          </w:p>
        </w:tc>
        <w:tc>
          <w:tcPr>
            <w:tcW w:w="2154" w:type="dxa"/>
            <w:tcBorders>
              <w:top w:val="nil"/>
              <w:bottom w:val="nil"/>
            </w:tcBorders>
          </w:tcPr>
          <w:p w14:paraId="57E66548" w14:textId="77777777" w:rsidR="00392B71" w:rsidRPr="00B824AA" w:rsidDel="006430B4" w:rsidRDefault="00392B71" w:rsidP="00CC3BD8">
            <w:pPr>
              <w:tabs>
                <w:tab w:val="decimal" w:pos="1221"/>
              </w:tabs>
              <w:rPr>
                <w:rFonts w:ascii="Times New Roman" w:hAnsi="Times New Roman" w:cs="Times New Roman"/>
              </w:rPr>
            </w:pPr>
          </w:p>
        </w:tc>
      </w:tr>
      <w:tr w:rsidR="003009CA" w:rsidRPr="00B824AA" w:rsidDel="006430B4" w14:paraId="20A9C776" w14:textId="77777777" w:rsidTr="00866620">
        <w:tc>
          <w:tcPr>
            <w:tcW w:w="2551" w:type="dxa"/>
            <w:tcBorders>
              <w:top w:val="nil"/>
              <w:bottom w:val="nil"/>
            </w:tcBorders>
          </w:tcPr>
          <w:p w14:paraId="6BE79284" w14:textId="77777777" w:rsidR="003009CA" w:rsidRPr="00B824AA" w:rsidDel="006430B4" w:rsidRDefault="003009CA" w:rsidP="00433AAB">
            <w:pPr>
              <w:ind w:left="316"/>
              <w:rPr>
                <w:rFonts w:ascii="Times New Roman" w:hAnsi="Times New Roman" w:cs="Times New Roman"/>
              </w:rPr>
            </w:pPr>
            <w:r w:rsidRPr="00B824AA" w:rsidDel="006430B4">
              <w:rPr>
                <w:rFonts w:ascii="Times New Roman" w:hAnsi="Times New Roman" w:cs="Times New Roman"/>
                <w:color w:val="000000"/>
              </w:rPr>
              <w:t>2010</w:t>
            </w:r>
          </w:p>
        </w:tc>
        <w:tc>
          <w:tcPr>
            <w:tcW w:w="2154" w:type="dxa"/>
            <w:tcBorders>
              <w:top w:val="nil"/>
              <w:bottom w:val="nil"/>
            </w:tcBorders>
          </w:tcPr>
          <w:p w14:paraId="2DECB157" w14:textId="3E377E72" w:rsidR="003009CA" w:rsidRPr="003009CA" w:rsidDel="006430B4" w:rsidRDefault="003009CA" w:rsidP="00433AAB">
            <w:pPr>
              <w:tabs>
                <w:tab w:val="decimal" w:pos="1135"/>
              </w:tabs>
              <w:rPr>
                <w:rFonts w:ascii="Times New Roman" w:hAnsi="Times New Roman" w:cs="Times New Roman"/>
              </w:rPr>
            </w:pPr>
            <w:r w:rsidRPr="003009CA">
              <w:rPr>
                <w:rFonts w:ascii="Times New Roman" w:hAnsi="Times New Roman" w:cs="Times New Roman"/>
              </w:rPr>
              <w:t>30</w:t>
            </w:r>
          </w:p>
        </w:tc>
        <w:tc>
          <w:tcPr>
            <w:tcW w:w="2154" w:type="dxa"/>
            <w:tcBorders>
              <w:top w:val="nil"/>
              <w:bottom w:val="nil"/>
            </w:tcBorders>
          </w:tcPr>
          <w:p w14:paraId="6C5C12EC" w14:textId="71FAA225" w:rsidR="003009CA" w:rsidRPr="003009CA" w:rsidDel="006430B4" w:rsidRDefault="003009CA" w:rsidP="00433AAB">
            <w:pPr>
              <w:tabs>
                <w:tab w:val="decimal" w:pos="1107"/>
              </w:tabs>
              <w:rPr>
                <w:rFonts w:ascii="Times New Roman" w:hAnsi="Times New Roman" w:cs="Times New Roman"/>
              </w:rPr>
            </w:pPr>
            <w:r w:rsidRPr="003009CA">
              <w:rPr>
                <w:rFonts w:ascii="Times New Roman" w:hAnsi="Times New Roman" w:cs="Times New Roman"/>
              </w:rPr>
              <w:t>49</w:t>
            </w:r>
          </w:p>
        </w:tc>
        <w:tc>
          <w:tcPr>
            <w:tcW w:w="2154" w:type="dxa"/>
            <w:tcBorders>
              <w:top w:val="nil"/>
              <w:bottom w:val="nil"/>
            </w:tcBorders>
          </w:tcPr>
          <w:p w14:paraId="234ECA0B" w14:textId="372B5144" w:rsidR="003009CA" w:rsidRPr="003009CA" w:rsidDel="006430B4" w:rsidRDefault="003009CA" w:rsidP="00433AAB">
            <w:pPr>
              <w:tabs>
                <w:tab w:val="decimal" w:pos="1221"/>
              </w:tabs>
              <w:rPr>
                <w:rFonts w:ascii="Times New Roman" w:hAnsi="Times New Roman" w:cs="Times New Roman"/>
              </w:rPr>
            </w:pPr>
            <w:r w:rsidRPr="003009CA">
              <w:rPr>
                <w:rFonts w:ascii="Times New Roman" w:hAnsi="Times New Roman" w:cs="Times New Roman"/>
              </w:rPr>
              <w:t>13</w:t>
            </w:r>
          </w:p>
        </w:tc>
      </w:tr>
      <w:tr w:rsidR="003009CA" w:rsidRPr="00B824AA" w:rsidDel="006430B4" w14:paraId="2553310E" w14:textId="77777777" w:rsidTr="00866620">
        <w:tc>
          <w:tcPr>
            <w:tcW w:w="2551" w:type="dxa"/>
            <w:tcBorders>
              <w:top w:val="nil"/>
              <w:bottom w:val="nil"/>
            </w:tcBorders>
          </w:tcPr>
          <w:p w14:paraId="2C55CDF0" w14:textId="77777777" w:rsidR="003009CA" w:rsidRPr="00B824AA" w:rsidDel="006430B4" w:rsidRDefault="003009CA" w:rsidP="00433AAB">
            <w:pPr>
              <w:ind w:left="316"/>
              <w:rPr>
                <w:rFonts w:ascii="Times New Roman" w:hAnsi="Times New Roman" w:cs="Times New Roman"/>
              </w:rPr>
            </w:pPr>
            <w:r w:rsidRPr="00B824AA" w:rsidDel="006430B4">
              <w:rPr>
                <w:rFonts w:ascii="Times New Roman" w:hAnsi="Times New Roman" w:cs="Times New Roman"/>
                <w:color w:val="000000"/>
              </w:rPr>
              <w:t>2015</w:t>
            </w:r>
          </w:p>
        </w:tc>
        <w:tc>
          <w:tcPr>
            <w:tcW w:w="2154" w:type="dxa"/>
            <w:tcBorders>
              <w:top w:val="nil"/>
              <w:bottom w:val="nil"/>
            </w:tcBorders>
          </w:tcPr>
          <w:p w14:paraId="72CA4262" w14:textId="13D95FDE" w:rsidR="003009CA" w:rsidRPr="003009CA" w:rsidDel="006430B4" w:rsidRDefault="003009CA" w:rsidP="00433AAB">
            <w:pPr>
              <w:tabs>
                <w:tab w:val="decimal" w:pos="1135"/>
              </w:tabs>
              <w:rPr>
                <w:rFonts w:ascii="Times New Roman" w:hAnsi="Times New Roman" w:cs="Times New Roman"/>
              </w:rPr>
            </w:pPr>
            <w:r w:rsidRPr="003009CA">
              <w:rPr>
                <w:rFonts w:ascii="Times New Roman" w:hAnsi="Times New Roman" w:cs="Times New Roman"/>
              </w:rPr>
              <w:t>33</w:t>
            </w:r>
          </w:p>
        </w:tc>
        <w:tc>
          <w:tcPr>
            <w:tcW w:w="2154" w:type="dxa"/>
            <w:tcBorders>
              <w:top w:val="nil"/>
              <w:bottom w:val="nil"/>
            </w:tcBorders>
          </w:tcPr>
          <w:p w14:paraId="54618D68" w14:textId="153F8A0A" w:rsidR="003009CA" w:rsidRPr="003009CA" w:rsidDel="006430B4" w:rsidRDefault="003009CA" w:rsidP="00433AAB">
            <w:pPr>
              <w:tabs>
                <w:tab w:val="decimal" w:pos="1107"/>
              </w:tabs>
              <w:rPr>
                <w:rFonts w:ascii="Times New Roman" w:hAnsi="Times New Roman" w:cs="Times New Roman"/>
              </w:rPr>
            </w:pPr>
            <w:r w:rsidRPr="003009CA">
              <w:rPr>
                <w:rFonts w:ascii="Times New Roman" w:hAnsi="Times New Roman" w:cs="Times New Roman"/>
              </w:rPr>
              <w:t>47</w:t>
            </w:r>
          </w:p>
        </w:tc>
        <w:tc>
          <w:tcPr>
            <w:tcW w:w="2154" w:type="dxa"/>
            <w:tcBorders>
              <w:top w:val="nil"/>
              <w:bottom w:val="nil"/>
            </w:tcBorders>
          </w:tcPr>
          <w:p w14:paraId="3D7AA686" w14:textId="419F5290" w:rsidR="003009CA" w:rsidRPr="003009CA" w:rsidDel="006430B4" w:rsidRDefault="003009CA" w:rsidP="00433AAB">
            <w:pPr>
              <w:tabs>
                <w:tab w:val="decimal" w:pos="1221"/>
              </w:tabs>
              <w:rPr>
                <w:rFonts w:ascii="Times New Roman" w:hAnsi="Times New Roman" w:cs="Times New Roman"/>
              </w:rPr>
            </w:pPr>
            <w:r w:rsidRPr="003009CA">
              <w:rPr>
                <w:rFonts w:ascii="Times New Roman" w:hAnsi="Times New Roman" w:cs="Times New Roman"/>
              </w:rPr>
              <w:t>17</w:t>
            </w:r>
          </w:p>
        </w:tc>
      </w:tr>
      <w:tr w:rsidR="003009CA" w:rsidRPr="00B824AA" w:rsidDel="006430B4" w14:paraId="2E278B52" w14:textId="77777777" w:rsidTr="00866620">
        <w:tc>
          <w:tcPr>
            <w:tcW w:w="2551" w:type="dxa"/>
            <w:tcBorders>
              <w:top w:val="nil"/>
              <w:bottom w:val="nil"/>
            </w:tcBorders>
          </w:tcPr>
          <w:p w14:paraId="038DBFC7" w14:textId="77777777" w:rsidR="003009CA" w:rsidRPr="00B824AA" w:rsidDel="006430B4" w:rsidRDefault="003009CA" w:rsidP="00433AAB">
            <w:pPr>
              <w:ind w:left="316"/>
              <w:rPr>
                <w:rFonts w:ascii="Times New Roman" w:hAnsi="Times New Roman" w:cs="Times New Roman"/>
              </w:rPr>
            </w:pPr>
            <w:r w:rsidRPr="00B824AA" w:rsidDel="006430B4">
              <w:rPr>
                <w:rFonts w:ascii="Times New Roman" w:hAnsi="Times New Roman" w:cs="Times New Roman"/>
                <w:color w:val="000000"/>
              </w:rPr>
              <w:t>2020</w:t>
            </w:r>
          </w:p>
        </w:tc>
        <w:tc>
          <w:tcPr>
            <w:tcW w:w="2154" w:type="dxa"/>
            <w:tcBorders>
              <w:top w:val="nil"/>
              <w:bottom w:val="nil"/>
            </w:tcBorders>
          </w:tcPr>
          <w:p w14:paraId="7002F907" w14:textId="182F293E" w:rsidR="003009CA" w:rsidRPr="003009CA" w:rsidDel="006430B4" w:rsidRDefault="003009CA" w:rsidP="00433AAB">
            <w:pPr>
              <w:tabs>
                <w:tab w:val="decimal" w:pos="1135"/>
              </w:tabs>
              <w:rPr>
                <w:rFonts w:ascii="Times New Roman" w:hAnsi="Times New Roman" w:cs="Times New Roman"/>
              </w:rPr>
            </w:pPr>
            <w:r w:rsidRPr="003009CA">
              <w:rPr>
                <w:rFonts w:ascii="Times New Roman" w:hAnsi="Times New Roman" w:cs="Times New Roman"/>
              </w:rPr>
              <w:t>43</w:t>
            </w:r>
          </w:p>
        </w:tc>
        <w:tc>
          <w:tcPr>
            <w:tcW w:w="2154" w:type="dxa"/>
            <w:tcBorders>
              <w:top w:val="nil"/>
              <w:bottom w:val="nil"/>
            </w:tcBorders>
          </w:tcPr>
          <w:p w14:paraId="3D18632D" w14:textId="644DFB93" w:rsidR="003009CA" w:rsidRPr="003009CA" w:rsidDel="006430B4" w:rsidRDefault="003009CA" w:rsidP="00433AAB">
            <w:pPr>
              <w:tabs>
                <w:tab w:val="decimal" w:pos="1107"/>
              </w:tabs>
              <w:rPr>
                <w:rFonts w:ascii="Times New Roman" w:hAnsi="Times New Roman" w:cs="Times New Roman"/>
              </w:rPr>
            </w:pPr>
            <w:r w:rsidRPr="003009CA">
              <w:rPr>
                <w:rFonts w:ascii="Times New Roman" w:hAnsi="Times New Roman" w:cs="Times New Roman"/>
              </w:rPr>
              <w:t>67</w:t>
            </w:r>
          </w:p>
        </w:tc>
        <w:tc>
          <w:tcPr>
            <w:tcW w:w="2154" w:type="dxa"/>
            <w:tcBorders>
              <w:top w:val="nil"/>
              <w:bottom w:val="nil"/>
            </w:tcBorders>
          </w:tcPr>
          <w:p w14:paraId="6BA182E5" w14:textId="1EB91E41" w:rsidR="003009CA" w:rsidRPr="003009CA" w:rsidDel="006430B4" w:rsidRDefault="003009CA" w:rsidP="00433AAB">
            <w:pPr>
              <w:tabs>
                <w:tab w:val="decimal" w:pos="1221"/>
              </w:tabs>
              <w:rPr>
                <w:rFonts w:ascii="Times New Roman" w:hAnsi="Times New Roman" w:cs="Times New Roman"/>
              </w:rPr>
            </w:pPr>
            <w:r w:rsidRPr="003009CA">
              <w:rPr>
                <w:rFonts w:ascii="Times New Roman" w:hAnsi="Times New Roman" w:cs="Times New Roman"/>
              </w:rPr>
              <w:t>20</w:t>
            </w:r>
          </w:p>
        </w:tc>
      </w:tr>
      <w:tr w:rsidR="003009CA" w:rsidRPr="00B824AA" w14:paraId="008AFD74" w14:textId="77777777" w:rsidTr="00866620">
        <w:trPr>
          <w:trHeight w:val="69"/>
        </w:trPr>
        <w:tc>
          <w:tcPr>
            <w:tcW w:w="2551" w:type="dxa"/>
            <w:tcBorders>
              <w:top w:val="nil"/>
              <w:bottom w:val="nil"/>
            </w:tcBorders>
          </w:tcPr>
          <w:p w14:paraId="36ECED17" w14:textId="77777777" w:rsidR="003009CA" w:rsidRPr="00B824AA" w:rsidRDefault="003009CA" w:rsidP="00433AAB">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bottom w:val="nil"/>
            </w:tcBorders>
          </w:tcPr>
          <w:p w14:paraId="3A505C47" w14:textId="3ECA7403" w:rsidR="003009CA" w:rsidRPr="003009CA" w:rsidRDefault="003009CA" w:rsidP="00433AAB">
            <w:pPr>
              <w:tabs>
                <w:tab w:val="decimal" w:pos="1135"/>
              </w:tabs>
              <w:rPr>
                <w:rFonts w:ascii="Times New Roman" w:hAnsi="Times New Roman" w:cs="Times New Roman"/>
                <w:color w:val="000000"/>
              </w:rPr>
            </w:pPr>
            <w:r w:rsidRPr="003009CA">
              <w:rPr>
                <w:rFonts w:ascii="Times New Roman" w:hAnsi="Times New Roman" w:cs="Times New Roman"/>
              </w:rPr>
              <w:t>64</w:t>
            </w:r>
          </w:p>
        </w:tc>
        <w:tc>
          <w:tcPr>
            <w:tcW w:w="2154" w:type="dxa"/>
            <w:tcBorders>
              <w:top w:val="nil"/>
              <w:bottom w:val="nil"/>
            </w:tcBorders>
          </w:tcPr>
          <w:p w14:paraId="37F0F03A" w14:textId="77D16D1B" w:rsidR="003009CA" w:rsidRPr="003009CA" w:rsidRDefault="003009CA" w:rsidP="00433AAB">
            <w:pPr>
              <w:tabs>
                <w:tab w:val="decimal" w:pos="1107"/>
              </w:tabs>
              <w:rPr>
                <w:rFonts w:ascii="Times New Roman" w:hAnsi="Times New Roman" w:cs="Times New Roman"/>
                <w:color w:val="000000"/>
              </w:rPr>
            </w:pPr>
            <w:r w:rsidRPr="003009CA">
              <w:rPr>
                <w:rFonts w:ascii="Times New Roman" w:hAnsi="Times New Roman" w:cs="Times New Roman"/>
              </w:rPr>
              <w:t>89</w:t>
            </w:r>
          </w:p>
        </w:tc>
        <w:tc>
          <w:tcPr>
            <w:tcW w:w="2154" w:type="dxa"/>
            <w:tcBorders>
              <w:top w:val="nil"/>
              <w:bottom w:val="nil"/>
            </w:tcBorders>
          </w:tcPr>
          <w:p w14:paraId="313CB225" w14:textId="385392BB" w:rsidR="003009CA" w:rsidRPr="003009CA" w:rsidRDefault="003009CA" w:rsidP="00433AAB">
            <w:pPr>
              <w:tabs>
                <w:tab w:val="decimal" w:pos="1221"/>
              </w:tabs>
              <w:rPr>
                <w:rFonts w:ascii="Times New Roman" w:hAnsi="Times New Roman" w:cs="Times New Roman"/>
                <w:color w:val="000000"/>
              </w:rPr>
            </w:pPr>
            <w:r w:rsidRPr="003009CA">
              <w:rPr>
                <w:rFonts w:ascii="Times New Roman" w:hAnsi="Times New Roman" w:cs="Times New Roman"/>
              </w:rPr>
              <w:t>33</w:t>
            </w:r>
          </w:p>
        </w:tc>
      </w:tr>
      <w:tr w:rsidR="003009CA" w:rsidRPr="00B824AA" w14:paraId="07417265" w14:textId="77777777" w:rsidTr="00866620">
        <w:trPr>
          <w:trHeight w:val="69"/>
        </w:trPr>
        <w:tc>
          <w:tcPr>
            <w:tcW w:w="2551" w:type="dxa"/>
            <w:tcBorders>
              <w:top w:val="nil"/>
            </w:tcBorders>
          </w:tcPr>
          <w:p w14:paraId="33496EC2" w14:textId="74CE336D" w:rsidR="003009CA" w:rsidRPr="00B824AA" w:rsidRDefault="003009CA" w:rsidP="00433AAB">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tcBorders>
          </w:tcPr>
          <w:p w14:paraId="232AD7AE" w14:textId="7930D564" w:rsidR="003009CA" w:rsidRPr="003009CA" w:rsidRDefault="003009CA" w:rsidP="00433AAB">
            <w:pPr>
              <w:tabs>
                <w:tab w:val="decimal" w:pos="1135"/>
              </w:tabs>
              <w:rPr>
                <w:rFonts w:ascii="Times New Roman" w:hAnsi="Times New Roman" w:cs="Times New Roman"/>
                <w:color w:val="000000"/>
              </w:rPr>
            </w:pPr>
            <w:r w:rsidRPr="003009CA">
              <w:rPr>
                <w:rFonts w:ascii="Times New Roman" w:hAnsi="Times New Roman" w:cs="Times New Roman"/>
              </w:rPr>
              <w:t>62</w:t>
            </w:r>
          </w:p>
        </w:tc>
        <w:tc>
          <w:tcPr>
            <w:tcW w:w="2154" w:type="dxa"/>
            <w:tcBorders>
              <w:top w:val="nil"/>
            </w:tcBorders>
          </w:tcPr>
          <w:p w14:paraId="3DA0E176" w14:textId="617745C7" w:rsidR="003009CA" w:rsidRPr="003009CA" w:rsidRDefault="003009CA" w:rsidP="00433AAB">
            <w:pPr>
              <w:tabs>
                <w:tab w:val="decimal" w:pos="1107"/>
              </w:tabs>
              <w:rPr>
                <w:rFonts w:ascii="Times New Roman" w:hAnsi="Times New Roman" w:cs="Times New Roman"/>
                <w:color w:val="000000"/>
              </w:rPr>
            </w:pPr>
            <w:r w:rsidRPr="003009CA">
              <w:rPr>
                <w:rFonts w:ascii="Times New Roman" w:hAnsi="Times New Roman" w:cs="Times New Roman"/>
              </w:rPr>
              <w:t>87</w:t>
            </w:r>
          </w:p>
        </w:tc>
        <w:tc>
          <w:tcPr>
            <w:tcW w:w="2154" w:type="dxa"/>
            <w:tcBorders>
              <w:top w:val="nil"/>
            </w:tcBorders>
          </w:tcPr>
          <w:p w14:paraId="5FF64EFF" w14:textId="37BCC513" w:rsidR="003009CA" w:rsidRPr="003009CA" w:rsidRDefault="003009CA" w:rsidP="00433AAB">
            <w:pPr>
              <w:tabs>
                <w:tab w:val="decimal" w:pos="1221"/>
              </w:tabs>
              <w:rPr>
                <w:rFonts w:ascii="Times New Roman" w:hAnsi="Times New Roman" w:cs="Times New Roman"/>
                <w:color w:val="000000"/>
              </w:rPr>
            </w:pPr>
            <w:r w:rsidRPr="003009CA">
              <w:rPr>
                <w:rFonts w:ascii="Times New Roman" w:hAnsi="Times New Roman" w:cs="Times New Roman"/>
              </w:rPr>
              <w:t>32</w:t>
            </w:r>
          </w:p>
        </w:tc>
      </w:tr>
    </w:tbl>
    <w:p w14:paraId="0946731D" w14:textId="54EDDFB7" w:rsidR="00CB7564" w:rsidRDefault="009B1C4F" w:rsidP="009B1C4F">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15801A8C" w14:textId="77777777" w:rsidR="0086174E" w:rsidRDefault="0086174E" w:rsidP="009B1C4F">
      <w:pPr>
        <w:rPr>
          <w:rFonts w:ascii="Times New Roman" w:hAnsi="Times New Roman" w:cs="Times New Roman"/>
          <w:i/>
          <w:iCs/>
          <w:sz w:val="24"/>
          <w:szCs w:val="24"/>
        </w:rPr>
      </w:pPr>
    </w:p>
    <w:p w14:paraId="53EFD262" w14:textId="77777777" w:rsidR="0086174E" w:rsidRPr="00B824AA" w:rsidRDefault="0086174E" w:rsidP="009B1C4F">
      <w:pPr>
        <w:rPr>
          <w:rFonts w:ascii="Times New Roman" w:hAnsi="Times New Roman" w:cs="Times New Roman"/>
          <w:i/>
          <w:iCs/>
          <w:sz w:val="24"/>
          <w:szCs w:val="24"/>
        </w:rPr>
      </w:pPr>
    </w:p>
    <w:p w14:paraId="6DF5B201" w14:textId="3C066B33" w:rsidR="0077028B" w:rsidRPr="00B824AA" w:rsidRDefault="0077028B" w:rsidP="00EA3005">
      <w:pPr>
        <w:pStyle w:val="Heading1"/>
        <w:numPr>
          <w:ilvl w:val="0"/>
          <w:numId w:val="6"/>
        </w:numPr>
        <w:rPr>
          <w:rFonts w:ascii="Times New Roman" w:hAnsi="Times New Roman" w:cs="Times New Roman"/>
          <w:sz w:val="36"/>
          <w:szCs w:val="36"/>
        </w:rPr>
      </w:pPr>
      <w:bookmarkStart w:id="8" w:name="_Toc162905464"/>
      <w:r w:rsidRPr="00B824AA">
        <w:rPr>
          <w:rFonts w:ascii="Times New Roman" w:hAnsi="Times New Roman" w:cs="Times New Roman"/>
          <w:sz w:val="36"/>
          <w:szCs w:val="36"/>
        </w:rPr>
        <w:lastRenderedPageBreak/>
        <w:t>Warunki mieszkaniowe</w:t>
      </w:r>
      <w:r w:rsidRPr="00B824AA">
        <w:rPr>
          <w:rFonts w:ascii="Times New Roman" w:hAnsi="Times New Roman" w:cs="Times New Roman"/>
          <w:sz w:val="36"/>
          <w:szCs w:val="36"/>
          <w:vertAlign w:val="superscript"/>
        </w:rPr>
        <w:footnoteReference w:id="4"/>
      </w:r>
      <w:bookmarkEnd w:id="8"/>
    </w:p>
    <w:p w14:paraId="5492B552" w14:textId="70D9B349" w:rsidR="00EA3005" w:rsidRPr="00B824AA" w:rsidRDefault="00EA3005" w:rsidP="009B1C4F">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Tomasz Panek</w:t>
      </w:r>
    </w:p>
    <w:p w14:paraId="05BAB166" w14:textId="56EBB58D" w:rsidR="0077028B" w:rsidRPr="00B824AA" w:rsidRDefault="0077028B" w:rsidP="0077028B">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 </w:t>
      </w:r>
      <w:r w:rsidR="0012287C" w:rsidRPr="00B824AA">
        <w:rPr>
          <w:rFonts w:ascii="Times New Roman" w:hAnsi="Times New Roman" w:cs="Times New Roman"/>
          <w:sz w:val="24"/>
          <w:szCs w:val="24"/>
        </w:rPr>
        <w:t>wymiarze</w:t>
      </w:r>
      <w:r w:rsidRPr="00B824AA">
        <w:rPr>
          <w:rFonts w:ascii="Times New Roman" w:hAnsi="Times New Roman" w:cs="Times New Roman"/>
          <w:sz w:val="24"/>
          <w:szCs w:val="24"/>
        </w:rPr>
        <w:t xml:space="preserve"> Warunki mieszkaniowe poddane analizie zostały ich cztery aspekty, a mianowicie Przeludnienie mieszkań Stan techniczny mieszkań, Wyposażenie mieszkań w instalacje oraz </w:t>
      </w:r>
      <w:r w:rsidR="00D716F1">
        <w:rPr>
          <w:rFonts w:ascii="Times New Roman" w:hAnsi="Times New Roman" w:cs="Times New Roman"/>
          <w:sz w:val="24"/>
          <w:szCs w:val="24"/>
        </w:rPr>
        <w:t xml:space="preserve">Problemy środowiskowe </w:t>
      </w:r>
      <w:r w:rsidRPr="00B824AA">
        <w:rPr>
          <w:rFonts w:ascii="Times New Roman" w:hAnsi="Times New Roman" w:cs="Times New Roman"/>
          <w:sz w:val="24"/>
          <w:szCs w:val="24"/>
        </w:rPr>
        <w:t xml:space="preserve"> </w:t>
      </w:r>
      <w:r w:rsidR="00D716F1">
        <w:rPr>
          <w:rFonts w:ascii="Times New Roman" w:hAnsi="Times New Roman" w:cs="Times New Roman"/>
          <w:sz w:val="24"/>
          <w:szCs w:val="24"/>
        </w:rPr>
        <w:t>w miejscu za</w:t>
      </w:r>
      <w:r w:rsidRPr="00B824AA">
        <w:rPr>
          <w:rFonts w:ascii="Times New Roman" w:hAnsi="Times New Roman" w:cs="Times New Roman"/>
          <w:sz w:val="24"/>
          <w:szCs w:val="24"/>
        </w:rPr>
        <w:t>mieszkania.</w:t>
      </w:r>
    </w:p>
    <w:p w14:paraId="66345238" w14:textId="0D5EF8C3" w:rsidR="0077028B" w:rsidRPr="00B824AA" w:rsidRDefault="0077028B" w:rsidP="0077028B">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Warunki mieszkaniowe gospodarstw domowych w Polsce </w:t>
      </w:r>
      <w:r w:rsidR="00A966B9">
        <w:rPr>
          <w:rFonts w:ascii="Times New Roman" w:hAnsi="Times New Roman" w:cs="Times New Roman"/>
          <w:sz w:val="24"/>
          <w:szCs w:val="24"/>
        </w:rPr>
        <w:t>w</w:t>
      </w:r>
      <w:r w:rsidR="00A966B9" w:rsidRPr="00B824AA">
        <w:rPr>
          <w:rFonts w:ascii="Times New Roman" w:hAnsi="Times New Roman" w:cs="Times New Roman"/>
          <w:sz w:val="24"/>
          <w:szCs w:val="24"/>
        </w:rPr>
        <w:t xml:space="preserve"> 2010 r. </w:t>
      </w:r>
      <w:r w:rsidRPr="00B824AA">
        <w:rPr>
          <w:rFonts w:ascii="Times New Roman" w:hAnsi="Times New Roman" w:cs="Times New Roman"/>
          <w:sz w:val="24"/>
          <w:szCs w:val="24"/>
        </w:rPr>
        <w:t xml:space="preserve">były zdecydowanie gorsze niż przeciętnie w krajach UE </w:t>
      </w:r>
      <w:r w:rsidR="00A966B9">
        <w:rPr>
          <w:rFonts w:ascii="Times New Roman" w:hAnsi="Times New Roman" w:cs="Times New Roman"/>
          <w:sz w:val="24"/>
          <w:szCs w:val="24"/>
        </w:rPr>
        <w:t xml:space="preserve">27 oraz UE 14 </w:t>
      </w:r>
      <w:r w:rsidRPr="00B824AA">
        <w:rPr>
          <w:rFonts w:ascii="Times New Roman" w:hAnsi="Times New Roman" w:cs="Times New Roman"/>
          <w:sz w:val="24"/>
          <w:szCs w:val="24"/>
        </w:rPr>
        <w:t xml:space="preserve">(Tabela </w:t>
      </w:r>
      <w:r w:rsidR="00D9615A" w:rsidRPr="00B824AA">
        <w:rPr>
          <w:rFonts w:ascii="Times New Roman" w:hAnsi="Times New Roman" w:cs="Times New Roman"/>
          <w:sz w:val="24"/>
          <w:szCs w:val="24"/>
        </w:rPr>
        <w:t>5</w:t>
      </w:r>
      <w:r w:rsidRPr="00B824AA">
        <w:rPr>
          <w:rFonts w:ascii="Times New Roman" w:hAnsi="Times New Roman" w:cs="Times New Roman"/>
          <w:sz w:val="24"/>
          <w:szCs w:val="24"/>
        </w:rPr>
        <w:t>)</w:t>
      </w:r>
      <w:r w:rsidR="00A966B9">
        <w:rPr>
          <w:rFonts w:ascii="Times New Roman" w:hAnsi="Times New Roman" w:cs="Times New Roman"/>
          <w:sz w:val="24"/>
          <w:szCs w:val="24"/>
        </w:rPr>
        <w:t xml:space="preserve">, odpowiednio </w:t>
      </w:r>
      <w:r w:rsidRPr="00B824AA">
        <w:rPr>
          <w:rFonts w:ascii="Times New Roman" w:hAnsi="Times New Roman" w:cs="Times New Roman"/>
          <w:sz w:val="24"/>
          <w:szCs w:val="24"/>
        </w:rPr>
        <w:t xml:space="preserve"> o </w:t>
      </w:r>
      <w:r w:rsidR="00D716F1">
        <w:rPr>
          <w:rFonts w:ascii="Times New Roman" w:hAnsi="Times New Roman" w:cs="Times New Roman"/>
          <w:sz w:val="24"/>
          <w:szCs w:val="24"/>
        </w:rPr>
        <w:t>29</w:t>
      </w:r>
      <w:r w:rsidRPr="00B824AA">
        <w:rPr>
          <w:rFonts w:ascii="Times New Roman" w:hAnsi="Times New Roman" w:cs="Times New Roman"/>
          <w:sz w:val="24"/>
          <w:szCs w:val="24"/>
        </w:rPr>
        <w:t xml:space="preserve"> procent</w:t>
      </w:r>
      <w:r w:rsidR="00A966B9">
        <w:rPr>
          <w:rFonts w:ascii="Times New Roman" w:hAnsi="Times New Roman" w:cs="Times New Roman"/>
          <w:sz w:val="24"/>
          <w:szCs w:val="24"/>
        </w:rPr>
        <w:t xml:space="preserve"> oraz o</w:t>
      </w:r>
      <w:r w:rsidRPr="00B824AA">
        <w:rPr>
          <w:rFonts w:ascii="Times New Roman" w:hAnsi="Times New Roman" w:cs="Times New Roman"/>
          <w:sz w:val="24"/>
          <w:szCs w:val="24"/>
        </w:rPr>
        <w:t xml:space="preserve"> </w:t>
      </w:r>
      <w:r w:rsidR="00D716F1">
        <w:rPr>
          <w:rFonts w:ascii="Times New Roman" w:hAnsi="Times New Roman" w:cs="Times New Roman"/>
          <w:sz w:val="24"/>
          <w:szCs w:val="24"/>
        </w:rPr>
        <w:t>33</w:t>
      </w:r>
      <w:r w:rsidRPr="00B824AA">
        <w:rPr>
          <w:rFonts w:ascii="Times New Roman" w:hAnsi="Times New Roman" w:cs="Times New Roman"/>
          <w:sz w:val="24"/>
          <w:szCs w:val="24"/>
        </w:rPr>
        <w:t xml:space="preserve"> procent</w:t>
      </w:r>
      <w:r w:rsidR="00A966B9">
        <w:rPr>
          <w:rFonts w:ascii="Times New Roman" w:hAnsi="Times New Roman" w:cs="Times New Roman"/>
          <w:sz w:val="24"/>
          <w:szCs w:val="24"/>
        </w:rPr>
        <w:t>. Jednocześnie były one o</w:t>
      </w:r>
      <w:r w:rsidRPr="00B824AA">
        <w:rPr>
          <w:rFonts w:ascii="Times New Roman" w:hAnsi="Times New Roman" w:cs="Times New Roman"/>
          <w:sz w:val="24"/>
          <w:szCs w:val="24"/>
        </w:rPr>
        <w:t xml:space="preserve"> </w:t>
      </w:r>
      <w:r w:rsidR="00D716F1">
        <w:rPr>
          <w:rFonts w:ascii="Times New Roman" w:hAnsi="Times New Roman" w:cs="Times New Roman"/>
          <w:sz w:val="24"/>
          <w:szCs w:val="24"/>
        </w:rPr>
        <w:t>4</w:t>
      </w:r>
      <w:r w:rsidRPr="00B824AA">
        <w:rPr>
          <w:rFonts w:ascii="Times New Roman" w:hAnsi="Times New Roman" w:cs="Times New Roman"/>
          <w:sz w:val="24"/>
          <w:szCs w:val="24"/>
        </w:rPr>
        <w:t xml:space="preserve"> procent </w:t>
      </w:r>
      <w:r w:rsidR="00D716F1">
        <w:rPr>
          <w:rFonts w:ascii="Times New Roman" w:hAnsi="Times New Roman" w:cs="Times New Roman"/>
          <w:sz w:val="24"/>
          <w:szCs w:val="24"/>
        </w:rPr>
        <w:t>lep</w:t>
      </w:r>
      <w:r w:rsidRPr="00B824AA">
        <w:rPr>
          <w:rFonts w:ascii="Times New Roman" w:hAnsi="Times New Roman" w:cs="Times New Roman"/>
          <w:sz w:val="24"/>
          <w:szCs w:val="24"/>
        </w:rPr>
        <w:t xml:space="preserve">sze niż przeciętnie </w:t>
      </w:r>
      <w:r w:rsidR="00A966B9">
        <w:rPr>
          <w:rFonts w:ascii="Times New Roman" w:hAnsi="Times New Roman" w:cs="Times New Roman"/>
          <w:sz w:val="24"/>
          <w:szCs w:val="24"/>
        </w:rPr>
        <w:t xml:space="preserve">w </w:t>
      </w:r>
      <w:r w:rsidRPr="00B824AA">
        <w:rPr>
          <w:rFonts w:ascii="Times New Roman" w:hAnsi="Times New Roman" w:cs="Times New Roman"/>
          <w:sz w:val="24"/>
          <w:szCs w:val="24"/>
        </w:rPr>
        <w:t>krajach nowej Unii. W 2015 r. obserwujemy relatywn</w:t>
      </w:r>
      <w:r w:rsidR="00A966B9">
        <w:rPr>
          <w:rFonts w:ascii="Times New Roman" w:hAnsi="Times New Roman" w:cs="Times New Roman"/>
          <w:sz w:val="24"/>
          <w:szCs w:val="24"/>
        </w:rPr>
        <w:t>ą</w:t>
      </w:r>
      <w:r w:rsidRPr="00B824AA">
        <w:rPr>
          <w:rFonts w:ascii="Times New Roman" w:hAnsi="Times New Roman" w:cs="Times New Roman"/>
          <w:sz w:val="24"/>
          <w:szCs w:val="24"/>
        </w:rPr>
        <w:t xml:space="preserve"> </w:t>
      </w:r>
      <w:r w:rsidR="00A966B9">
        <w:rPr>
          <w:rFonts w:ascii="Times New Roman" w:hAnsi="Times New Roman" w:cs="Times New Roman"/>
          <w:sz w:val="24"/>
          <w:szCs w:val="24"/>
        </w:rPr>
        <w:t xml:space="preserve">poprawę </w:t>
      </w:r>
      <w:r w:rsidRPr="00B824AA">
        <w:rPr>
          <w:rFonts w:ascii="Times New Roman" w:hAnsi="Times New Roman" w:cs="Times New Roman"/>
          <w:sz w:val="24"/>
          <w:szCs w:val="24"/>
        </w:rPr>
        <w:t>warunków mieszkaniowych w Polsce</w:t>
      </w:r>
      <w:r w:rsidR="00A966B9">
        <w:rPr>
          <w:rFonts w:ascii="Times New Roman" w:hAnsi="Times New Roman" w:cs="Times New Roman"/>
          <w:sz w:val="24"/>
          <w:szCs w:val="24"/>
        </w:rPr>
        <w:t xml:space="preserve"> w stosunku do dwóch pierwszych grup krajów</w:t>
      </w:r>
      <w:r w:rsidRPr="00B824AA">
        <w:rPr>
          <w:rFonts w:ascii="Times New Roman" w:hAnsi="Times New Roman" w:cs="Times New Roman"/>
          <w:sz w:val="24"/>
          <w:szCs w:val="24"/>
        </w:rPr>
        <w:t xml:space="preserve">. Luka warunków mieszkaniowych w Polsce, mierzona wskaźnikiem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zwiększyła się o 1 punkt procentowy w stosunku do krajów UE 27 </w:t>
      </w:r>
      <w:r w:rsidR="002D2128">
        <w:rPr>
          <w:rFonts w:ascii="Times New Roman" w:hAnsi="Times New Roman" w:cs="Times New Roman"/>
          <w:sz w:val="24"/>
          <w:szCs w:val="24"/>
        </w:rPr>
        <w:t xml:space="preserve">oraz </w:t>
      </w:r>
      <w:r w:rsidR="00D716F1">
        <w:rPr>
          <w:rFonts w:ascii="Times New Roman" w:hAnsi="Times New Roman" w:cs="Times New Roman"/>
          <w:sz w:val="24"/>
          <w:szCs w:val="24"/>
        </w:rPr>
        <w:t>o 2 punkty procentowe</w:t>
      </w:r>
      <w:r w:rsidRPr="00B824AA">
        <w:rPr>
          <w:rFonts w:ascii="Times New Roman" w:hAnsi="Times New Roman" w:cs="Times New Roman"/>
          <w:sz w:val="24"/>
          <w:szCs w:val="24"/>
        </w:rPr>
        <w:t xml:space="preserve"> </w:t>
      </w:r>
      <w:r w:rsidR="002D2128" w:rsidRPr="00B824AA">
        <w:rPr>
          <w:rFonts w:ascii="Times New Roman" w:hAnsi="Times New Roman" w:cs="Times New Roman"/>
          <w:sz w:val="24"/>
          <w:szCs w:val="24"/>
        </w:rPr>
        <w:t xml:space="preserve">w </w:t>
      </w:r>
      <w:r w:rsidR="002D2128">
        <w:rPr>
          <w:rFonts w:ascii="Times New Roman" w:hAnsi="Times New Roman" w:cs="Times New Roman"/>
          <w:sz w:val="24"/>
          <w:szCs w:val="24"/>
        </w:rPr>
        <w:t xml:space="preserve">odniesieniu </w:t>
      </w:r>
      <w:r w:rsidR="002D2128" w:rsidRPr="00B824AA">
        <w:rPr>
          <w:rFonts w:ascii="Times New Roman" w:hAnsi="Times New Roman" w:cs="Times New Roman"/>
          <w:sz w:val="24"/>
          <w:szCs w:val="24"/>
        </w:rPr>
        <w:t xml:space="preserve">do krajów </w:t>
      </w:r>
      <w:r w:rsidR="00EB578B">
        <w:rPr>
          <w:rFonts w:ascii="Times New Roman" w:hAnsi="Times New Roman" w:cs="Times New Roman"/>
          <w:sz w:val="24"/>
          <w:szCs w:val="24"/>
        </w:rPr>
        <w:t>UE 14</w:t>
      </w:r>
      <w:r w:rsidR="00D716F1">
        <w:rPr>
          <w:rFonts w:ascii="Times New Roman" w:hAnsi="Times New Roman" w:cs="Times New Roman"/>
          <w:sz w:val="24"/>
          <w:szCs w:val="24"/>
        </w:rPr>
        <w:t xml:space="preserve">. Natomiast </w:t>
      </w:r>
      <w:r w:rsidRPr="00B824AA">
        <w:rPr>
          <w:rFonts w:ascii="Times New Roman" w:hAnsi="Times New Roman" w:cs="Times New Roman"/>
          <w:sz w:val="24"/>
          <w:szCs w:val="24"/>
        </w:rPr>
        <w:t xml:space="preserve">w stosunku do krajów </w:t>
      </w:r>
      <w:r w:rsidR="00EB578B">
        <w:rPr>
          <w:rFonts w:ascii="Times New Roman" w:hAnsi="Times New Roman" w:cs="Times New Roman"/>
          <w:sz w:val="24"/>
          <w:szCs w:val="24"/>
        </w:rPr>
        <w:t>UE 13</w:t>
      </w:r>
      <w:r w:rsidR="00D716F1">
        <w:rPr>
          <w:rFonts w:ascii="Times New Roman" w:hAnsi="Times New Roman" w:cs="Times New Roman"/>
          <w:sz w:val="24"/>
          <w:szCs w:val="24"/>
        </w:rPr>
        <w:t xml:space="preserve"> także pojawiła się luka warunków mieszkaniowych wynosząca 6 procent</w:t>
      </w:r>
      <w:r w:rsidRPr="00B824AA">
        <w:rPr>
          <w:rFonts w:ascii="Times New Roman" w:hAnsi="Times New Roman" w:cs="Times New Roman"/>
          <w:sz w:val="24"/>
          <w:szCs w:val="24"/>
        </w:rPr>
        <w:t>. W</w:t>
      </w:r>
      <w:r w:rsidR="004254C0">
        <w:rPr>
          <w:rFonts w:ascii="Times New Roman" w:hAnsi="Times New Roman" w:cs="Times New Roman"/>
          <w:sz w:val="24"/>
          <w:szCs w:val="24"/>
        </w:rPr>
        <w:t> </w:t>
      </w:r>
      <w:r w:rsidRPr="00B824AA">
        <w:rPr>
          <w:rFonts w:ascii="Times New Roman" w:hAnsi="Times New Roman" w:cs="Times New Roman"/>
          <w:sz w:val="24"/>
          <w:szCs w:val="24"/>
        </w:rPr>
        <w:t>2020</w:t>
      </w:r>
      <w:r w:rsidR="004254C0">
        <w:rPr>
          <w:rFonts w:ascii="Times New Roman" w:hAnsi="Times New Roman" w:cs="Times New Roman"/>
          <w:sz w:val="24"/>
          <w:szCs w:val="24"/>
        </w:rPr>
        <w:t> </w:t>
      </w:r>
      <w:r w:rsidRPr="00B824AA">
        <w:rPr>
          <w:rFonts w:ascii="Times New Roman" w:hAnsi="Times New Roman" w:cs="Times New Roman"/>
          <w:sz w:val="24"/>
          <w:szCs w:val="24"/>
        </w:rPr>
        <w:t xml:space="preserve">r. nastąpiła relatywna poprawa warunków mieszkaniowych polskich gospodarstw domowych – luka warunków mieszkaniowych zmniejszyła się w 2020 r. </w:t>
      </w:r>
      <w:r w:rsidR="00FE419E">
        <w:rPr>
          <w:rFonts w:ascii="Times New Roman" w:hAnsi="Times New Roman" w:cs="Times New Roman"/>
          <w:sz w:val="24"/>
          <w:szCs w:val="24"/>
        </w:rPr>
        <w:t xml:space="preserve">aż </w:t>
      </w:r>
      <w:r w:rsidRPr="00B824AA">
        <w:rPr>
          <w:rFonts w:ascii="Times New Roman" w:hAnsi="Times New Roman" w:cs="Times New Roman"/>
          <w:sz w:val="24"/>
          <w:szCs w:val="24"/>
        </w:rPr>
        <w:t xml:space="preserve">o </w:t>
      </w:r>
      <w:r w:rsidR="00FE419E">
        <w:rPr>
          <w:rFonts w:ascii="Times New Roman" w:hAnsi="Times New Roman" w:cs="Times New Roman"/>
          <w:sz w:val="24"/>
          <w:szCs w:val="24"/>
        </w:rPr>
        <w:t>26</w:t>
      </w:r>
      <w:r w:rsidRPr="00B824AA">
        <w:rPr>
          <w:rFonts w:ascii="Times New Roman" w:hAnsi="Times New Roman" w:cs="Times New Roman"/>
          <w:sz w:val="24"/>
          <w:szCs w:val="24"/>
        </w:rPr>
        <w:t xml:space="preserve"> punktów procentowych w stosunku do krajów UE 27</w:t>
      </w:r>
      <w:r w:rsidR="00FE419E">
        <w:rPr>
          <w:rFonts w:ascii="Times New Roman" w:hAnsi="Times New Roman" w:cs="Times New Roman"/>
          <w:sz w:val="24"/>
          <w:szCs w:val="24"/>
        </w:rPr>
        <w:t xml:space="preserve"> oraz</w:t>
      </w:r>
      <w:r w:rsidRPr="00B824AA">
        <w:rPr>
          <w:rFonts w:ascii="Times New Roman" w:hAnsi="Times New Roman" w:cs="Times New Roman"/>
          <w:sz w:val="24"/>
          <w:szCs w:val="24"/>
        </w:rPr>
        <w:t xml:space="preserve"> o 3</w:t>
      </w:r>
      <w:r w:rsidR="00FE419E">
        <w:rPr>
          <w:rFonts w:ascii="Times New Roman" w:hAnsi="Times New Roman" w:cs="Times New Roman"/>
          <w:sz w:val="24"/>
          <w:szCs w:val="24"/>
        </w:rPr>
        <w:t>1</w:t>
      </w:r>
      <w:r w:rsidRPr="00B824AA">
        <w:rPr>
          <w:rFonts w:ascii="Times New Roman" w:hAnsi="Times New Roman" w:cs="Times New Roman"/>
          <w:sz w:val="24"/>
          <w:szCs w:val="24"/>
        </w:rPr>
        <w:t xml:space="preserve"> punkt</w:t>
      </w:r>
      <w:r w:rsidR="00FE419E">
        <w:rPr>
          <w:rFonts w:ascii="Times New Roman" w:hAnsi="Times New Roman" w:cs="Times New Roman"/>
          <w:sz w:val="24"/>
          <w:szCs w:val="24"/>
        </w:rPr>
        <w:t>ów</w:t>
      </w:r>
      <w:r w:rsidRPr="00B824AA">
        <w:rPr>
          <w:rFonts w:ascii="Times New Roman" w:hAnsi="Times New Roman" w:cs="Times New Roman"/>
          <w:sz w:val="24"/>
          <w:szCs w:val="24"/>
        </w:rPr>
        <w:t xml:space="preserve"> procentow</w:t>
      </w:r>
      <w:r w:rsidR="00FE419E">
        <w:rPr>
          <w:rFonts w:ascii="Times New Roman" w:hAnsi="Times New Roman" w:cs="Times New Roman"/>
          <w:sz w:val="24"/>
          <w:szCs w:val="24"/>
        </w:rPr>
        <w:t>ych</w:t>
      </w:r>
      <w:r w:rsidRPr="00B824AA">
        <w:rPr>
          <w:rFonts w:ascii="Times New Roman" w:hAnsi="Times New Roman" w:cs="Times New Roman"/>
          <w:sz w:val="24"/>
          <w:szCs w:val="24"/>
        </w:rPr>
        <w:t xml:space="preserve"> w odniesieniu do krajów starej Unii </w:t>
      </w:r>
      <w:r w:rsidR="00FE419E">
        <w:rPr>
          <w:rFonts w:ascii="Times New Roman" w:hAnsi="Times New Roman" w:cs="Times New Roman"/>
          <w:sz w:val="24"/>
          <w:szCs w:val="24"/>
        </w:rPr>
        <w:t>co oznacza likwidację tej luki</w:t>
      </w:r>
      <w:r w:rsidRPr="00B824AA">
        <w:rPr>
          <w:rFonts w:ascii="Times New Roman" w:hAnsi="Times New Roman" w:cs="Times New Roman"/>
          <w:sz w:val="24"/>
          <w:szCs w:val="24"/>
        </w:rPr>
        <w:t xml:space="preserve">. </w:t>
      </w:r>
      <w:r w:rsidR="00FE419E">
        <w:rPr>
          <w:rFonts w:ascii="Times New Roman" w:hAnsi="Times New Roman" w:cs="Times New Roman"/>
          <w:sz w:val="24"/>
          <w:szCs w:val="24"/>
        </w:rPr>
        <w:t xml:space="preserve">Ponadto sytuacja </w:t>
      </w:r>
      <w:r w:rsidR="002D2128">
        <w:rPr>
          <w:rFonts w:ascii="Times New Roman" w:hAnsi="Times New Roman" w:cs="Times New Roman"/>
          <w:sz w:val="24"/>
          <w:szCs w:val="24"/>
        </w:rPr>
        <w:t>mieszkaniowa</w:t>
      </w:r>
      <w:r w:rsidR="00FE419E">
        <w:rPr>
          <w:rFonts w:ascii="Times New Roman" w:hAnsi="Times New Roman" w:cs="Times New Roman"/>
          <w:sz w:val="24"/>
          <w:szCs w:val="24"/>
        </w:rPr>
        <w:t xml:space="preserve"> była lepsza o 2 procent niż w krajach nowej Unii. </w:t>
      </w:r>
      <w:r w:rsidRPr="00B824AA">
        <w:rPr>
          <w:rFonts w:ascii="Times New Roman" w:hAnsi="Times New Roman" w:cs="Times New Roman"/>
          <w:sz w:val="24"/>
          <w:szCs w:val="24"/>
        </w:rPr>
        <w:t xml:space="preserve">Niestety luka ta wzrosła w kolejnym, 2021 r. – o </w:t>
      </w:r>
      <w:r w:rsidR="00FE419E">
        <w:rPr>
          <w:rFonts w:ascii="Times New Roman" w:hAnsi="Times New Roman" w:cs="Times New Roman"/>
          <w:sz w:val="24"/>
          <w:szCs w:val="24"/>
        </w:rPr>
        <w:t>3</w:t>
      </w:r>
      <w:r w:rsidRPr="00B824AA">
        <w:rPr>
          <w:rFonts w:ascii="Times New Roman" w:hAnsi="Times New Roman" w:cs="Times New Roman"/>
          <w:sz w:val="24"/>
          <w:szCs w:val="24"/>
        </w:rPr>
        <w:t xml:space="preserve"> punkty procentowe w stosunku do krajów UE 27, </w:t>
      </w:r>
      <w:r w:rsidR="00FE419E">
        <w:rPr>
          <w:rFonts w:ascii="Times New Roman" w:hAnsi="Times New Roman" w:cs="Times New Roman"/>
          <w:sz w:val="24"/>
          <w:szCs w:val="24"/>
        </w:rPr>
        <w:t>d</w:t>
      </w:r>
      <w:r w:rsidRPr="00B824AA">
        <w:rPr>
          <w:rFonts w:ascii="Times New Roman" w:hAnsi="Times New Roman" w:cs="Times New Roman"/>
          <w:sz w:val="24"/>
          <w:szCs w:val="24"/>
        </w:rPr>
        <w:t xml:space="preserve">o </w:t>
      </w:r>
      <w:r w:rsidR="00FE419E">
        <w:rPr>
          <w:rFonts w:ascii="Times New Roman" w:hAnsi="Times New Roman" w:cs="Times New Roman"/>
          <w:sz w:val="24"/>
          <w:szCs w:val="24"/>
        </w:rPr>
        <w:t>3</w:t>
      </w:r>
      <w:r w:rsidRPr="00B824AA">
        <w:rPr>
          <w:rFonts w:ascii="Times New Roman" w:hAnsi="Times New Roman" w:cs="Times New Roman"/>
          <w:sz w:val="24"/>
          <w:szCs w:val="24"/>
        </w:rPr>
        <w:t xml:space="preserve"> punktów procentowych w stosunku do krajów </w:t>
      </w:r>
      <w:r w:rsidR="004254C0">
        <w:rPr>
          <w:rFonts w:ascii="Times New Roman" w:hAnsi="Times New Roman" w:cs="Times New Roman"/>
          <w:sz w:val="24"/>
          <w:szCs w:val="24"/>
        </w:rPr>
        <w:t>UE 14</w:t>
      </w:r>
      <w:r w:rsidR="002D2128">
        <w:rPr>
          <w:rFonts w:ascii="Times New Roman" w:hAnsi="Times New Roman" w:cs="Times New Roman"/>
          <w:sz w:val="24"/>
          <w:szCs w:val="24"/>
        </w:rPr>
        <w:t>.</w:t>
      </w:r>
      <w:r w:rsidRPr="00B824AA">
        <w:rPr>
          <w:rFonts w:ascii="Times New Roman" w:hAnsi="Times New Roman" w:cs="Times New Roman"/>
          <w:sz w:val="24"/>
          <w:szCs w:val="24"/>
        </w:rPr>
        <w:t xml:space="preserve"> </w:t>
      </w:r>
      <w:r w:rsidR="002D2128">
        <w:rPr>
          <w:rFonts w:ascii="Times New Roman" w:hAnsi="Times New Roman" w:cs="Times New Roman"/>
          <w:sz w:val="24"/>
          <w:szCs w:val="24"/>
        </w:rPr>
        <w:t>S</w:t>
      </w:r>
      <w:r w:rsidR="00FE419E">
        <w:rPr>
          <w:rFonts w:ascii="Times New Roman" w:hAnsi="Times New Roman" w:cs="Times New Roman"/>
          <w:sz w:val="24"/>
          <w:szCs w:val="24"/>
        </w:rPr>
        <w:t>ytuacja mieszkaniowa w stosunku do krajów UE 13</w:t>
      </w:r>
      <w:r w:rsidR="0032304C">
        <w:rPr>
          <w:rFonts w:ascii="Times New Roman" w:hAnsi="Times New Roman" w:cs="Times New Roman"/>
          <w:sz w:val="24"/>
          <w:szCs w:val="24"/>
        </w:rPr>
        <w:t xml:space="preserve"> także uległa relatywnemu pogorszeniu –</w:t>
      </w:r>
      <w:r w:rsidR="002D2128">
        <w:rPr>
          <w:rFonts w:ascii="Times New Roman" w:hAnsi="Times New Roman" w:cs="Times New Roman"/>
          <w:sz w:val="24"/>
          <w:szCs w:val="24"/>
        </w:rPr>
        <w:t xml:space="preserve">poziom warunków mieszkaniowych w Polsce zrównał się </w:t>
      </w:r>
      <w:r w:rsidR="002D2128" w:rsidRPr="002D2128">
        <w:rPr>
          <w:rFonts w:ascii="Times New Roman" w:hAnsi="Times New Roman" w:cs="Times New Roman"/>
          <w:sz w:val="24"/>
          <w:szCs w:val="24"/>
        </w:rPr>
        <w:t xml:space="preserve"> </w:t>
      </w:r>
      <w:r w:rsidR="002D2128">
        <w:rPr>
          <w:rFonts w:ascii="Times New Roman" w:hAnsi="Times New Roman" w:cs="Times New Roman"/>
          <w:sz w:val="24"/>
          <w:szCs w:val="24"/>
        </w:rPr>
        <w:t xml:space="preserve">z </w:t>
      </w:r>
      <w:r w:rsidR="00A966B9">
        <w:rPr>
          <w:rFonts w:ascii="Times New Roman" w:hAnsi="Times New Roman" w:cs="Times New Roman"/>
          <w:sz w:val="24"/>
          <w:szCs w:val="24"/>
        </w:rPr>
        <w:t xml:space="preserve">ich </w:t>
      </w:r>
      <w:r w:rsidR="0032304C">
        <w:rPr>
          <w:rFonts w:ascii="Times New Roman" w:hAnsi="Times New Roman" w:cs="Times New Roman"/>
          <w:sz w:val="24"/>
          <w:szCs w:val="24"/>
        </w:rPr>
        <w:t xml:space="preserve">poziomem </w:t>
      </w:r>
      <w:r w:rsidR="002D2128">
        <w:rPr>
          <w:rFonts w:ascii="Times New Roman" w:hAnsi="Times New Roman" w:cs="Times New Roman"/>
          <w:sz w:val="24"/>
          <w:szCs w:val="24"/>
        </w:rPr>
        <w:t xml:space="preserve">w tej </w:t>
      </w:r>
      <w:r w:rsidR="0032304C">
        <w:rPr>
          <w:rFonts w:ascii="Times New Roman" w:hAnsi="Times New Roman" w:cs="Times New Roman"/>
          <w:sz w:val="24"/>
          <w:szCs w:val="24"/>
        </w:rPr>
        <w:t>grup</w:t>
      </w:r>
      <w:r w:rsidR="002D2128">
        <w:rPr>
          <w:rFonts w:ascii="Times New Roman" w:hAnsi="Times New Roman" w:cs="Times New Roman"/>
          <w:sz w:val="24"/>
          <w:szCs w:val="24"/>
        </w:rPr>
        <w:t>ie</w:t>
      </w:r>
      <w:r w:rsidR="0032304C">
        <w:rPr>
          <w:rFonts w:ascii="Times New Roman" w:hAnsi="Times New Roman" w:cs="Times New Roman"/>
          <w:sz w:val="24"/>
          <w:szCs w:val="24"/>
        </w:rPr>
        <w:t xml:space="preserve"> krajów</w:t>
      </w:r>
      <w:r w:rsidRPr="00B824AA">
        <w:rPr>
          <w:rFonts w:ascii="Times New Roman" w:hAnsi="Times New Roman" w:cs="Times New Roman"/>
          <w:sz w:val="24"/>
          <w:szCs w:val="24"/>
        </w:rPr>
        <w:t>.</w:t>
      </w:r>
    </w:p>
    <w:p w14:paraId="00432915" w14:textId="588B5782" w:rsidR="0077028B" w:rsidRPr="00B824AA" w:rsidRDefault="0077028B" w:rsidP="0077028B">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Wyraźnie najgorzej kształtowała się w Polsce w badanych latach sytuacja związana z</w:t>
      </w:r>
      <w:r w:rsidR="004254C0">
        <w:rPr>
          <w:rFonts w:ascii="Times New Roman" w:hAnsi="Times New Roman" w:cs="Times New Roman"/>
          <w:sz w:val="24"/>
          <w:szCs w:val="24"/>
        </w:rPr>
        <w:t> </w:t>
      </w:r>
      <w:r w:rsidRPr="00B824AA">
        <w:rPr>
          <w:rFonts w:ascii="Times New Roman" w:hAnsi="Times New Roman" w:cs="Times New Roman"/>
          <w:sz w:val="24"/>
          <w:szCs w:val="24"/>
        </w:rPr>
        <w:t xml:space="preserve">przeludnieniem mieszkań. Zmniejszenie odsetka ludności żyjącej w przeludnionych mieszkaniach w 2010 r. do przeciętnego poziomu w krajach UE 27, w krajach </w:t>
      </w:r>
      <w:r w:rsidR="004D15F7">
        <w:rPr>
          <w:rFonts w:ascii="Times New Roman" w:hAnsi="Times New Roman" w:cs="Times New Roman"/>
          <w:sz w:val="24"/>
          <w:szCs w:val="24"/>
        </w:rPr>
        <w:t>UE 14</w:t>
      </w:r>
      <w:r w:rsidRPr="00B824AA">
        <w:rPr>
          <w:rFonts w:ascii="Times New Roman" w:hAnsi="Times New Roman" w:cs="Times New Roman"/>
          <w:sz w:val="24"/>
          <w:szCs w:val="24"/>
        </w:rPr>
        <w:t xml:space="preserve"> oraz w krajach </w:t>
      </w:r>
      <w:r w:rsidR="004D15F7">
        <w:rPr>
          <w:rFonts w:ascii="Times New Roman" w:hAnsi="Times New Roman" w:cs="Times New Roman"/>
          <w:sz w:val="24"/>
          <w:szCs w:val="24"/>
        </w:rPr>
        <w:t>UE 13</w:t>
      </w:r>
      <w:r w:rsidRPr="00B824AA">
        <w:rPr>
          <w:rFonts w:ascii="Times New Roman" w:hAnsi="Times New Roman" w:cs="Times New Roman"/>
          <w:sz w:val="24"/>
          <w:szCs w:val="24"/>
        </w:rPr>
        <w:t xml:space="preserve"> wymagało wzrostu wartości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odpowiednio o 81, 85 i 20 punktów procentowych. </w:t>
      </w:r>
      <w:r w:rsidR="00334DB6">
        <w:rPr>
          <w:rFonts w:ascii="Times New Roman" w:hAnsi="Times New Roman" w:cs="Times New Roman"/>
          <w:sz w:val="24"/>
          <w:szCs w:val="24"/>
        </w:rPr>
        <w:t xml:space="preserve">W 2015 r. wartość wskaźnika Przeludnienie mieszkań nie zmieniła się w stosunku do krajów UE 27, zwiększyła się o 1 punkt procentowy w stosunku do krajów UE14 i znacząco spadła, o13 punktów procentowych, w odniesieniu do krajów UE 13. </w:t>
      </w:r>
      <w:r w:rsidRPr="00B824AA">
        <w:rPr>
          <w:rFonts w:ascii="Times New Roman" w:hAnsi="Times New Roman" w:cs="Times New Roman"/>
          <w:sz w:val="24"/>
          <w:szCs w:val="24"/>
        </w:rPr>
        <w:t>Wartość tego wskaźnika w 2020 r. w stosunku do 201</w:t>
      </w:r>
      <w:r w:rsidR="00334DB6">
        <w:rPr>
          <w:rFonts w:ascii="Times New Roman" w:hAnsi="Times New Roman" w:cs="Times New Roman"/>
          <w:sz w:val="24"/>
          <w:szCs w:val="24"/>
        </w:rPr>
        <w:t>5</w:t>
      </w:r>
      <w:r w:rsidRPr="00B824AA">
        <w:rPr>
          <w:rFonts w:ascii="Times New Roman" w:hAnsi="Times New Roman" w:cs="Times New Roman"/>
          <w:sz w:val="24"/>
          <w:szCs w:val="24"/>
        </w:rPr>
        <w:t xml:space="preserve"> r. w relacji do krajów UE 27</w:t>
      </w:r>
      <w:r w:rsidR="00334DB6">
        <w:rPr>
          <w:rFonts w:ascii="Times New Roman" w:hAnsi="Times New Roman" w:cs="Times New Roman"/>
          <w:sz w:val="24"/>
          <w:szCs w:val="24"/>
        </w:rPr>
        <w:t>,</w:t>
      </w:r>
      <w:r w:rsidRPr="00B824AA">
        <w:rPr>
          <w:rFonts w:ascii="Times New Roman" w:hAnsi="Times New Roman" w:cs="Times New Roman"/>
          <w:sz w:val="24"/>
          <w:szCs w:val="24"/>
        </w:rPr>
        <w:t xml:space="preserve"> krajów </w:t>
      </w:r>
      <w:r w:rsidR="00A82343">
        <w:rPr>
          <w:rFonts w:ascii="Times New Roman" w:hAnsi="Times New Roman" w:cs="Times New Roman"/>
          <w:sz w:val="24"/>
          <w:szCs w:val="24"/>
        </w:rPr>
        <w:t>UE 14</w:t>
      </w:r>
      <w:r w:rsidR="00334DB6">
        <w:rPr>
          <w:rFonts w:ascii="Times New Roman" w:hAnsi="Times New Roman" w:cs="Times New Roman"/>
          <w:sz w:val="24"/>
          <w:szCs w:val="24"/>
        </w:rPr>
        <w:t xml:space="preserve"> oraz krajów UE 13 wzrosła odpowiednio</w:t>
      </w:r>
      <w:r w:rsidRPr="00B824AA">
        <w:rPr>
          <w:rFonts w:ascii="Times New Roman" w:hAnsi="Times New Roman" w:cs="Times New Roman"/>
          <w:sz w:val="24"/>
          <w:szCs w:val="24"/>
        </w:rPr>
        <w:t xml:space="preserve"> o 12</w:t>
      </w:r>
      <w:r w:rsidR="00334DB6">
        <w:rPr>
          <w:rFonts w:ascii="Times New Roman" w:hAnsi="Times New Roman" w:cs="Times New Roman"/>
          <w:sz w:val="24"/>
          <w:szCs w:val="24"/>
        </w:rPr>
        <w:t xml:space="preserve">, o 11 i o 2 </w:t>
      </w:r>
      <w:r w:rsidRPr="00B824AA">
        <w:rPr>
          <w:rFonts w:ascii="Times New Roman" w:hAnsi="Times New Roman" w:cs="Times New Roman"/>
          <w:sz w:val="24"/>
          <w:szCs w:val="24"/>
        </w:rPr>
        <w:t xml:space="preserve"> punkt procentow</w:t>
      </w:r>
      <w:r w:rsidR="00334DB6">
        <w:rPr>
          <w:rFonts w:ascii="Times New Roman" w:hAnsi="Times New Roman" w:cs="Times New Roman"/>
          <w:sz w:val="24"/>
          <w:szCs w:val="24"/>
        </w:rPr>
        <w:t>e</w:t>
      </w:r>
      <w:r w:rsidRPr="00B824AA">
        <w:rPr>
          <w:rFonts w:ascii="Times New Roman" w:hAnsi="Times New Roman" w:cs="Times New Roman"/>
          <w:sz w:val="24"/>
          <w:szCs w:val="24"/>
        </w:rPr>
        <w:t xml:space="preserve"> co oznacza poprawę </w:t>
      </w:r>
      <w:r w:rsidRPr="00B824AA">
        <w:rPr>
          <w:rFonts w:ascii="Times New Roman" w:hAnsi="Times New Roman" w:cs="Times New Roman"/>
          <w:sz w:val="24"/>
          <w:szCs w:val="24"/>
        </w:rPr>
        <w:lastRenderedPageBreak/>
        <w:t>relatywnej sytuacji w tym aspekcie warunków mieszkaniowych. W 2021 r. wartość analizowanego wskaźnika nieznacznie spadła w stosunku do 2020 r. w relacji do wszystkich grup krajów – o 1 punkt procentowy</w:t>
      </w:r>
      <w:r w:rsidR="00C90B98">
        <w:rPr>
          <w:rFonts w:ascii="Times New Roman" w:hAnsi="Times New Roman" w:cs="Times New Roman"/>
          <w:sz w:val="24"/>
          <w:szCs w:val="24"/>
        </w:rPr>
        <w:t xml:space="preserve">. </w:t>
      </w:r>
      <w:r w:rsidR="0042078B">
        <w:rPr>
          <w:rFonts w:ascii="Times New Roman" w:hAnsi="Times New Roman" w:cs="Times New Roman"/>
          <w:sz w:val="24"/>
          <w:szCs w:val="24"/>
        </w:rPr>
        <w:t>W</w:t>
      </w:r>
      <w:r w:rsidR="00C90B98">
        <w:rPr>
          <w:rFonts w:ascii="Times New Roman" w:hAnsi="Times New Roman" w:cs="Times New Roman"/>
          <w:sz w:val="24"/>
          <w:szCs w:val="24"/>
        </w:rPr>
        <w:t xml:space="preserve"> 202</w:t>
      </w:r>
      <w:r w:rsidR="0042078B">
        <w:rPr>
          <w:rFonts w:ascii="Times New Roman" w:hAnsi="Times New Roman" w:cs="Times New Roman"/>
          <w:sz w:val="24"/>
          <w:szCs w:val="24"/>
        </w:rPr>
        <w:t>2</w:t>
      </w:r>
      <w:r w:rsidR="00C90B98">
        <w:rPr>
          <w:rFonts w:ascii="Times New Roman" w:hAnsi="Times New Roman" w:cs="Times New Roman"/>
          <w:sz w:val="24"/>
          <w:szCs w:val="24"/>
        </w:rPr>
        <w:t xml:space="preserve"> r. sytuacja ta nie uległa zmianie w stosunku do krajów UE 27 i UE 14 oraz pogorszyła się w stosunku do krajów UE 13 o 1 punkt procentowy.</w:t>
      </w:r>
    </w:p>
    <w:p w14:paraId="2B8BABF9" w14:textId="40EA0D85" w:rsidR="0077028B" w:rsidRPr="00B824AA" w:rsidRDefault="0077028B" w:rsidP="0077028B">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Odsetek ludności żyjących w mieszkaniach o dobrym stanie technicznym (w mieszkaniach bez przeciekającego dachu, wilgoci na ścianach, podłogach, fundamencie, butwiejących oknach lub podłogach) był znacząco </w:t>
      </w:r>
      <w:r w:rsidR="00334DB6">
        <w:rPr>
          <w:rFonts w:ascii="Times New Roman" w:hAnsi="Times New Roman" w:cs="Times New Roman"/>
          <w:sz w:val="24"/>
          <w:szCs w:val="24"/>
        </w:rPr>
        <w:t xml:space="preserve">wyższy </w:t>
      </w:r>
      <w:r w:rsidRPr="00B824AA">
        <w:rPr>
          <w:rFonts w:ascii="Times New Roman" w:hAnsi="Times New Roman" w:cs="Times New Roman"/>
          <w:sz w:val="24"/>
          <w:szCs w:val="24"/>
        </w:rPr>
        <w:t xml:space="preserve">w Polsce w 2010 r. zarówno niż przeciętnie w krajach UE 27, jak i również w krajach </w:t>
      </w:r>
      <w:r w:rsidR="00A82343">
        <w:rPr>
          <w:rFonts w:ascii="Times New Roman" w:hAnsi="Times New Roman" w:cs="Times New Roman"/>
          <w:sz w:val="24"/>
          <w:szCs w:val="24"/>
        </w:rPr>
        <w:t>UE 14</w:t>
      </w:r>
      <w:r w:rsidRPr="00B824AA">
        <w:rPr>
          <w:rFonts w:ascii="Times New Roman" w:hAnsi="Times New Roman" w:cs="Times New Roman"/>
          <w:sz w:val="24"/>
          <w:szCs w:val="24"/>
        </w:rPr>
        <w:t xml:space="preserve"> oraz </w:t>
      </w:r>
      <w:r w:rsidR="00A82343">
        <w:rPr>
          <w:rFonts w:ascii="Times New Roman" w:hAnsi="Times New Roman" w:cs="Times New Roman"/>
          <w:sz w:val="24"/>
          <w:szCs w:val="24"/>
        </w:rPr>
        <w:t>UE 1</w:t>
      </w:r>
      <w:r w:rsidR="00334DB6">
        <w:rPr>
          <w:rFonts w:ascii="Times New Roman" w:hAnsi="Times New Roman" w:cs="Times New Roman"/>
          <w:sz w:val="24"/>
          <w:szCs w:val="24"/>
        </w:rPr>
        <w:t>3</w:t>
      </w:r>
      <w:r w:rsidRPr="00B824AA">
        <w:rPr>
          <w:rFonts w:ascii="Times New Roman" w:hAnsi="Times New Roman" w:cs="Times New Roman"/>
          <w:sz w:val="24"/>
          <w:szCs w:val="24"/>
        </w:rPr>
        <w:t xml:space="preserve"> (odpowiednio o 23, 23 i 20 procent). Sytuacja ta uległa nieznacznemu relatywnemu pogorszeniu w 2015 r., chociaż w dalszym ciągu była znacząco lepsza niż w wyróżnionych grupach krajów Unii. </w:t>
      </w:r>
      <w:r w:rsidR="0069470E">
        <w:rPr>
          <w:rFonts w:ascii="Times New Roman" w:hAnsi="Times New Roman" w:cs="Times New Roman"/>
          <w:sz w:val="24"/>
          <w:szCs w:val="24"/>
        </w:rPr>
        <w:t>W</w:t>
      </w:r>
      <w:r w:rsidRPr="00B824AA">
        <w:rPr>
          <w:rFonts w:ascii="Times New Roman" w:hAnsi="Times New Roman" w:cs="Times New Roman"/>
          <w:sz w:val="24"/>
          <w:szCs w:val="24"/>
        </w:rPr>
        <w:t xml:space="preserve"> 2020 r. nastąpiła jej znacząca skokowa poprawa – odsetek ludności w Polsce żyjące w mieszkaniach o złym standardzie technicznym był odpowiednio o 102, 142 i 131 procent niższy niż przeciętnie w porównywanych grupach krajów.</w:t>
      </w:r>
      <w:r w:rsidR="00E26BAA" w:rsidRPr="00B824AA">
        <w:rPr>
          <w:rFonts w:ascii="Times New Roman" w:hAnsi="Times New Roman" w:cs="Times New Roman"/>
          <w:sz w:val="24"/>
          <w:szCs w:val="24"/>
        </w:rPr>
        <w:t xml:space="preserve"> </w:t>
      </w:r>
      <w:r w:rsidR="006432F7">
        <w:rPr>
          <w:rFonts w:ascii="Times New Roman" w:hAnsi="Times New Roman" w:cs="Times New Roman"/>
          <w:sz w:val="24"/>
          <w:szCs w:val="24"/>
        </w:rPr>
        <w:t>W 202</w:t>
      </w:r>
      <w:r w:rsidR="0042078B">
        <w:rPr>
          <w:rFonts w:ascii="Times New Roman" w:hAnsi="Times New Roman" w:cs="Times New Roman"/>
          <w:sz w:val="24"/>
          <w:szCs w:val="24"/>
        </w:rPr>
        <w:t>2</w:t>
      </w:r>
      <w:r w:rsidR="006432F7">
        <w:rPr>
          <w:rFonts w:ascii="Times New Roman" w:hAnsi="Times New Roman" w:cs="Times New Roman"/>
          <w:sz w:val="24"/>
          <w:szCs w:val="24"/>
        </w:rPr>
        <w:t xml:space="preserve"> r. obserwujemy dalszą relatywną poprawę tej sytuacji w stosunku do krajów UE 27 i UE 14</w:t>
      </w:r>
      <w:r w:rsidR="0042078B">
        <w:rPr>
          <w:rFonts w:ascii="Times New Roman" w:hAnsi="Times New Roman" w:cs="Times New Roman"/>
          <w:sz w:val="24"/>
          <w:szCs w:val="24"/>
        </w:rPr>
        <w:t>,</w:t>
      </w:r>
      <w:r w:rsidR="006432F7">
        <w:rPr>
          <w:rFonts w:ascii="Times New Roman" w:hAnsi="Times New Roman" w:cs="Times New Roman"/>
          <w:sz w:val="24"/>
          <w:szCs w:val="24"/>
        </w:rPr>
        <w:t xml:space="preserve"> odpowiednio o 14 i 34 punkty procentowe. Natomiast w stosunku do krajów </w:t>
      </w:r>
      <w:r w:rsidR="0069470E">
        <w:rPr>
          <w:rFonts w:ascii="Times New Roman" w:hAnsi="Times New Roman" w:cs="Times New Roman"/>
          <w:sz w:val="24"/>
          <w:szCs w:val="24"/>
        </w:rPr>
        <w:t xml:space="preserve">UE 13 </w:t>
      </w:r>
      <w:r w:rsidR="006432F7">
        <w:rPr>
          <w:rFonts w:ascii="Times New Roman" w:hAnsi="Times New Roman" w:cs="Times New Roman"/>
          <w:sz w:val="24"/>
          <w:szCs w:val="24"/>
        </w:rPr>
        <w:t>uległa ona nieznacznemu pogorszeniu</w:t>
      </w:r>
      <w:r w:rsidR="00FD302A">
        <w:rPr>
          <w:rFonts w:ascii="Times New Roman" w:hAnsi="Times New Roman" w:cs="Times New Roman"/>
          <w:sz w:val="24"/>
          <w:szCs w:val="24"/>
        </w:rPr>
        <w:t>,</w:t>
      </w:r>
      <w:r w:rsidR="006432F7">
        <w:rPr>
          <w:rFonts w:ascii="Times New Roman" w:hAnsi="Times New Roman" w:cs="Times New Roman"/>
          <w:sz w:val="24"/>
          <w:szCs w:val="24"/>
        </w:rPr>
        <w:t xml:space="preserve"> o 6 punktów procentowych.</w:t>
      </w:r>
    </w:p>
    <w:p w14:paraId="285142C8" w14:textId="52779C8C" w:rsidR="0077028B" w:rsidRPr="00B824AA" w:rsidRDefault="0077028B" w:rsidP="0077028B">
      <w:pPr>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Odsetek ludności żyjących w mieszkaniach wyposażonych w wybrane, podstawowe instalacje (wannę lub prysznic lub spłukiwaną toaletę) był w 2010 r. w Polsce niższy o 1 procent niż przeciętnie w krajach UE 27 oraz o </w:t>
      </w:r>
      <w:r w:rsidR="00334DB6">
        <w:rPr>
          <w:rFonts w:ascii="Times New Roman" w:hAnsi="Times New Roman" w:cs="Times New Roman"/>
          <w:sz w:val="24"/>
          <w:szCs w:val="24"/>
        </w:rPr>
        <w:t>4</w:t>
      </w:r>
      <w:r w:rsidRPr="00B824AA">
        <w:rPr>
          <w:rFonts w:ascii="Times New Roman" w:hAnsi="Times New Roman" w:cs="Times New Roman"/>
          <w:sz w:val="24"/>
          <w:szCs w:val="24"/>
        </w:rPr>
        <w:t xml:space="preserve"> procent niż przeciętnie w krajach starej Unii. Natomiast w stosunku do krajów nowej Unii był on o 8 procent wyższy. Relatywna sytuacja w omawianym aspekcie warunków mieszkaniowych ulegała </w:t>
      </w:r>
      <w:r w:rsidR="007A4025">
        <w:rPr>
          <w:rFonts w:ascii="Times New Roman" w:hAnsi="Times New Roman" w:cs="Times New Roman"/>
          <w:sz w:val="24"/>
          <w:szCs w:val="24"/>
        </w:rPr>
        <w:t xml:space="preserve">nieznacznej </w:t>
      </w:r>
      <w:r w:rsidRPr="00B824AA">
        <w:rPr>
          <w:rFonts w:ascii="Times New Roman" w:hAnsi="Times New Roman" w:cs="Times New Roman"/>
          <w:sz w:val="24"/>
          <w:szCs w:val="24"/>
        </w:rPr>
        <w:t xml:space="preserve">poprawie w badanych latach w stosunku do krajów UE 27 oraz krajów </w:t>
      </w:r>
      <w:r w:rsidR="00A61DE2">
        <w:rPr>
          <w:rFonts w:ascii="Times New Roman" w:hAnsi="Times New Roman" w:cs="Times New Roman"/>
          <w:sz w:val="24"/>
          <w:szCs w:val="24"/>
        </w:rPr>
        <w:t>UE 14</w:t>
      </w:r>
      <w:r w:rsidRPr="00B824AA">
        <w:rPr>
          <w:rFonts w:ascii="Times New Roman" w:hAnsi="Times New Roman" w:cs="Times New Roman"/>
          <w:sz w:val="24"/>
          <w:szCs w:val="24"/>
        </w:rPr>
        <w:t xml:space="preserve">. Odsetek żyjących w mieszkaniach wyposażonych w wybrane instalacje był już w 2020 r. taki sam jak przeciętnie w grupie krajów UE 27 i tylko o 1 procent niższy niż przeciętnie w krajach </w:t>
      </w:r>
      <w:r w:rsidR="00A61DE2">
        <w:rPr>
          <w:rFonts w:ascii="Times New Roman" w:hAnsi="Times New Roman" w:cs="Times New Roman"/>
          <w:sz w:val="24"/>
          <w:szCs w:val="24"/>
        </w:rPr>
        <w:t>UE 14</w:t>
      </w:r>
      <w:r w:rsidRPr="00B824AA">
        <w:rPr>
          <w:rFonts w:ascii="Times New Roman" w:hAnsi="Times New Roman" w:cs="Times New Roman"/>
          <w:sz w:val="24"/>
          <w:szCs w:val="24"/>
        </w:rPr>
        <w:t>. Natomiast odsetek ludności żyjących w Polsce w</w:t>
      </w:r>
      <w:r w:rsidR="00367B03">
        <w:rPr>
          <w:rFonts w:ascii="Times New Roman" w:hAnsi="Times New Roman" w:cs="Times New Roman"/>
          <w:sz w:val="24"/>
          <w:szCs w:val="24"/>
        </w:rPr>
        <w:t> </w:t>
      </w:r>
      <w:r w:rsidRPr="00B824AA">
        <w:rPr>
          <w:rFonts w:ascii="Times New Roman" w:hAnsi="Times New Roman" w:cs="Times New Roman"/>
          <w:sz w:val="24"/>
          <w:szCs w:val="24"/>
        </w:rPr>
        <w:t xml:space="preserve">mieszkaniach wyposażonych w te instalacje w relacji do tego odsetka w grupie krajów </w:t>
      </w:r>
      <w:r w:rsidR="00A61DE2">
        <w:rPr>
          <w:rFonts w:ascii="Times New Roman" w:hAnsi="Times New Roman" w:cs="Times New Roman"/>
          <w:sz w:val="24"/>
          <w:szCs w:val="24"/>
        </w:rPr>
        <w:t xml:space="preserve">UE 13 </w:t>
      </w:r>
      <w:r w:rsidRPr="00B824AA">
        <w:rPr>
          <w:rFonts w:ascii="Times New Roman" w:hAnsi="Times New Roman" w:cs="Times New Roman"/>
          <w:sz w:val="24"/>
          <w:szCs w:val="24"/>
        </w:rPr>
        <w:t>uległ w 2015 r. w stosunku do 2010 r. zmniejszeniu o 2 punkty procentowe. Jednakże w 2020</w:t>
      </w:r>
      <w:r w:rsidR="00A61DE2">
        <w:rPr>
          <w:rFonts w:ascii="Times New Roman" w:hAnsi="Times New Roman" w:cs="Times New Roman"/>
          <w:sz w:val="24"/>
          <w:szCs w:val="24"/>
        </w:rPr>
        <w:t> </w:t>
      </w:r>
      <w:r w:rsidRPr="00B824AA">
        <w:rPr>
          <w:rFonts w:ascii="Times New Roman" w:hAnsi="Times New Roman" w:cs="Times New Roman"/>
          <w:sz w:val="24"/>
          <w:szCs w:val="24"/>
        </w:rPr>
        <w:t>r. odsetek ten był w dalszym ciągu wyższy o 4 procent</w:t>
      </w:r>
      <w:r w:rsidR="00CC0102">
        <w:rPr>
          <w:rFonts w:ascii="Times New Roman" w:hAnsi="Times New Roman" w:cs="Times New Roman"/>
          <w:sz w:val="24"/>
          <w:szCs w:val="24"/>
        </w:rPr>
        <w:t xml:space="preserve">. W 2022 r. nastąpił wzrost tego odsetka o 1 punkt procentowy w stosunku do krajów UE 27 i UE 14 </w:t>
      </w:r>
      <w:r w:rsidR="00FD302A">
        <w:rPr>
          <w:rFonts w:ascii="Times New Roman" w:hAnsi="Times New Roman" w:cs="Times New Roman"/>
          <w:sz w:val="24"/>
          <w:szCs w:val="24"/>
        </w:rPr>
        <w:t>oraz nie</w:t>
      </w:r>
      <w:r w:rsidR="00CC0102">
        <w:rPr>
          <w:rFonts w:ascii="Times New Roman" w:hAnsi="Times New Roman" w:cs="Times New Roman"/>
          <w:sz w:val="24"/>
          <w:szCs w:val="24"/>
        </w:rPr>
        <w:t xml:space="preserve"> </w:t>
      </w:r>
      <w:r w:rsidR="00FD302A">
        <w:rPr>
          <w:rFonts w:ascii="Times New Roman" w:hAnsi="Times New Roman" w:cs="Times New Roman"/>
          <w:sz w:val="24"/>
          <w:szCs w:val="24"/>
        </w:rPr>
        <w:t xml:space="preserve">zmienił się </w:t>
      </w:r>
      <w:r w:rsidR="00CC0102">
        <w:rPr>
          <w:rFonts w:ascii="Times New Roman" w:hAnsi="Times New Roman" w:cs="Times New Roman"/>
          <w:sz w:val="24"/>
          <w:szCs w:val="24"/>
        </w:rPr>
        <w:t>w stosunku do krajów UE 13.</w:t>
      </w:r>
    </w:p>
    <w:p w14:paraId="507BB3EB" w14:textId="78544EAF" w:rsidR="00F746F1" w:rsidRDefault="000B181C" w:rsidP="0077028B">
      <w:pPr>
        <w:spacing w:line="360" w:lineRule="auto"/>
        <w:jc w:val="both"/>
        <w:rPr>
          <w:rFonts w:ascii="Times New Roman" w:hAnsi="Times New Roman" w:cs="Times New Roman"/>
          <w:sz w:val="24"/>
          <w:szCs w:val="24"/>
        </w:rPr>
      </w:pPr>
      <w:r>
        <w:rPr>
          <w:rFonts w:ascii="Times New Roman" w:hAnsi="Times New Roman" w:cs="Times New Roman"/>
          <w:sz w:val="24"/>
          <w:szCs w:val="24"/>
        </w:rPr>
        <w:t>Odsetek ludności deklarujących problemy środowiskowe w miejscu zamieszkania (zanieczyszczenie, brud i inne problemy środowiskowe) był w Polsce w 20</w:t>
      </w:r>
      <w:r w:rsidR="00116C03">
        <w:rPr>
          <w:rFonts w:ascii="Times New Roman" w:hAnsi="Times New Roman" w:cs="Times New Roman"/>
          <w:sz w:val="24"/>
          <w:szCs w:val="24"/>
        </w:rPr>
        <w:t>1</w:t>
      </w:r>
      <w:r>
        <w:rPr>
          <w:rFonts w:ascii="Times New Roman" w:hAnsi="Times New Roman" w:cs="Times New Roman"/>
          <w:sz w:val="24"/>
          <w:szCs w:val="24"/>
        </w:rPr>
        <w:t xml:space="preserve">0 r. znacząco niższy niż we wszystkich wyróżnionych w badaniu grupach krajów UE – wartość wskaźnika wyniosła 112 procent w stosunku do krajów UE 27, 111 procent w stosunku do krajów UE 14 i 114 procent w </w:t>
      </w:r>
      <w:r w:rsidR="00334DB6">
        <w:rPr>
          <w:rFonts w:ascii="Times New Roman" w:hAnsi="Times New Roman" w:cs="Times New Roman"/>
          <w:sz w:val="24"/>
          <w:szCs w:val="24"/>
        </w:rPr>
        <w:t xml:space="preserve">odniesieniu </w:t>
      </w:r>
      <w:r>
        <w:rPr>
          <w:rFonts w:ascii="Times New Roman" w:hAnsi="Times New Roman" w:cs="Times New Roman"/>
          <w:sz w:val="24"/>
          <w:szCs w:val="24"/>
        </w:rPr>
        <w:t xml:space="preserve">do krajów UE 13. </w:t>
      </w:r>
      <w:r w:rsidR="0069470E">
        <w:rPr>
          <w:rFonts w:ascii="Times New Roman" w:hAnsi="Times New Roman" w:cs="Times New Roman"/>
          <w:sz w:val="24"/>
          <w:szCs w:val="24"/>
        </w:rPr>
        <w:t>W</w:t>
      </w:r>
      <w:r w:rsidR="0080717B">
        <w:rPr>
          <w:rFonts w:ascii="Times New Roman" w:hAnsi="Times New Roman" w:cs="Times New Roman"/>
          <w:sz w:val="24"/>
          <w:szCs w:val="24"/>
        </w:rPr>
        <w:t xml:space="preserve">artość tego wskaźnika w latach 2015 i 2020 wzrosła </w:t>
      </w:r>
      <w:r w:rsidR="0080717B">
        <w:rPr>
          <w:rFonts w:ascii="Times New Roman" w:hAnsi="Times New Roman" w:cs="Times New Roman"/>
          <w:sz w:val="24"/>
          <w:szCs w:val="24"/>
        </w:rPr>
        <w:lastRenderedPageBreak/>
        <w:t xml:space="preserve">w stosunku do krajów UW 27 i UE 14. </w:t>
      </w:r>
      <w:r w:rsidR="00116C03">
        <w:rPr>
          <w:rFonts w:ascii="Times New Roman" w:hAnsi="Times New Roman" w:cs="Times New Roman"/>
          <w:sz w:val="24"/>
          <w:szCs w:val="24"/>
        </w:rPr>
        <w:t>Wzrost ten wyniósł</w:t>
      </w:r>
      <w:r w:rsidR="0080717B">
        <w:rPr>
          <w:rFonts w:ascii="Times New Roman" w:hAnsi="Times New Roman" w:cs="Times New Roman"/>
          <w:sz w:val="24"/>
          <w:szCs w:val="24"/>
        </w:rPr>
        <w:t xml:space="preserve"> w 2020 r. w stosunku do 2010 r. odpowiednio 33 i 47 punktów procentowych. Natomiast w stosunku do krajów UE 13 jego wartość w tym okresie nieznacznie spadła</w:t>
      </w:r>
      <w:r w:rsidR="00116C03">
        <w:rPr>
          <w:rFonts w:ascii="Times New Roman" w:hAnsi="Times New Roman" w:cs="Times New Roman"/>
          <w:sz w:val="24"/>
          <w:szCs w:val="24"/>
        </w:rPr>
        <w:t>,</w:t>
      </w:r>
      <w:r w:rsidR="0080717B">
        <w:rPr>
          <w:rFonts w:ascii="Times New Roman" w:hAnsi="Times New Roman" w:cs="Times New Roman"/>
          <w:sz w:val="24"/>
          <w:szCs w:val="24"/>
        </w:rPr>
        <w:t xml:space="preserve"> o 1 punkt procentowy. Niestety w 2022 r. obserwujemy spadek wartości wskaźnika mierzącego problemy środowiskowe </w:t>
      </w:r>
      <w:r w:rsidR="00116C03">
        <w:rPr>
          <w:rFonts w:ascii="Times New Roman" w:hAnsi="Times New Roman" w:cs="Times New Roman"/>
          <w:sz w:val="24"/>
          <w:szCs w:val="24"/>
        </w:rPr>
        <w:t xml:space="preserve">w miejscu zamieszkania </w:t>
      </w:r>
      <w:r w:rsidR="0080717B">
        <w:rPr>
          <w:rFonts w:ascii="Times New Roman" w:hAnsi="Times New Roman" w:cs="Times New Roman"/>
          <w:sz w:val="24"/>
          <w:szCs w:val="24"/>
        </w:rPr>
        <w:t xml:space="preserve">w stosunku do wszystkich rozważanych grup krajów, odpowiednio o 14, 18 i 5 punktów procentowych. Jednakże w dalszym ciągu odsetek osób w Polsce zgłaszających problemy środowiskowe w miejscu zamieszkania jest znacząco mniejszy niż </w:t>
      </w:r>
      <w:r w:rsidR="00116C03">
        <w:rPr>
          <w:rFonts w:ascii="Times New Roman" w:hAnsi="Times New Roman" w:cs="Times New Roman"/>
          <w:sz w:val="24"/>
          <w:szCs w:val="24"/>
        </w:rPr>
        <w:t xml:space="preserve">w </w:t>
      </w:r>
      <w:r w:rsidR="0080717B">
        <w:rPr>
          <w:rFonts w:ascii="Times New Roman" w:hAnsi="Times New Roman" w:cs="Times New Roman"/>
          <w:sz w:val="24"/>
          <w:szCs w:val="24"/>
        </w:rPr>
        <w:t xml:space="preserve">wyróżnionych w badaniu grupach krajów UE. </w:t>
      </w:r>
    </w:p>
    <w:p w14:paraId="308B3374" w14:textId="24B0D5DB" w:rsidR="0077028B" w:rsidRPr="00B824AA" w:rsidRDefault="00C81797" w:rsidP="00C81797">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5</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Warunki mieszkaniowe w latach 2010, 2015, 2020</w:t>
      </w:r>
      <w:r w:rsidR="00712D84">
        <w:rPr>
          <w:rFonts w:ascii="Times New Roman" w:hAnsi="Times New Roman" w:cs="Times New Roman"/>
          <w:sz w:val="22"/>
          <w:szCs w:val="22"/>
        </w:rPr>
        <w:t>,</w:t>
      </w:r>
      <w:r w:rsidRPr="00B824AA">
        <w:rPr>
          <w:rFonts w:ascii="Times New Roman" w:hAnsi="Times New Roman" w:cs="Times New Roman"/>
          <w:sz w:val="22"/>
          <w:szCs w:val="22"/>
        </w:rPr>
        <w:t xml:space="preserve"> 2021</w:t>
      </w:r>
      <w:r w:rsidR="00712D84">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77028B" w:rsidRPr="00B824AA" w14:paraId="4471D144" w14:textId="77777777" w:rsidTr="0069470E">
        <w:trPr>
          <w:trHeight w:val="200"/>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741AF92" w14:textId="744FCD73" w:rsidR="0077028B" w:rsidRPr="00B824AA" w:rsidRDefault="00C9487A">
            <w:pPr>
              <w:jc w:val="center"/>
              <w:rPr>
                <w:rFonts w:ascii="Times New Roman" w:hAnsi="Times New Roman" w:cs="Times New Roman"/>
                <w:b/>
                <w:bCs/>
              </w:rPr>
            </w:pPr>
            <w:r w:rsidRPr="00B824AA">
              <w:rPr>
                <w:rFonts w:ascii="Times New Roman" w:hAnsi="Times New Roman" w:cs="Times New Roman"/>
                <w:b/>
                <w:bCs/>
              </w:rPr>
              <w:t>Wymiar</w:t>
            </w:r>
            <w:r w:rsidR="0077028B" w:rsidRPr="00B824AA">
              <w:rPr>
                <w:rFonts w:ascii="Times New Roman" w:hAnsi="Times New Roman" w:cs="Times New Roman"/>
                <w:b/>
                <w:bCs/>
              </w:rPr>
              <w:t xml:space="preserve"> i wskaźniki cząstkowe oraz lata</w:t>
            </w:r>
          </w:p>
        </w:tc>
        <w:tc>
          <w:tcPr>
            <w:tcW w:w="6462" w:type="dxa"/>
            <w:gridSpan w:val="3"/>
            <w:tcBorders>
              <w:top w:val="single" w:sz="4" w:space="0" w:color="auto"/>
              <w:left w:val="single" w:sz="4" w:space="0" w:color="auto"/>
              <w:bottom w:val="single" w:sz="4" w:space="0" w:color="auto"/>
              <w:right w:val="single" w:sz="4" w:space="0" w:color="auto"/>
            </w:tcBorders>
            <w:vAlign w:val="center"/>
            <w:hideMark/>
          </w:tcPr>
          <w:p w14:paraId="5DF96A59" w14:textId="42DEFB45" w:rsidR="0077028B" w:rsidRPr="00B824AA" w:rsidRDefault="0077028B">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i/>
                <w:iCs/>
              </w:rPr>
              <w:t>catch-up</w:t>
            </w:r>
            <w:proofErr w:type="spellEnd"/>
            <w:r w:rsidRPr="00B824AA">
              <w:rPr>
                <w:rFonts w:ascii="Times New Roman" w:hAnsi="Times New Roman" w:cs="Times New Roman"/>
                <w:b/>
                <w:bCs/>
                <w:i/>
                <w:iCs/>
              </w:rPr>
              <w:t xml:space="preserve"> </w:t>
            </w:r>
            <w:r w:rsidRPr="00B824AA">
              <w:rPr>
                <w:rFonts w:ascii="Times New Roman" w:hAnsi="Times New Roman" w:cs="Times New Roman"/>
                <w:b/>
                <w:bCs/>
              </w:rPr>
              <w:t>w %</w:t>
            </w:r>
          </w:p>
        </w:tc>
      </w:tr>
      <w:tr w:rsidR="0077028B" w:rsidRPr="00B824AA" w14:paraId="5D24ADE9" w14:textId="77777777" w:rsidTr="0069470E">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5FDFC" w14:textId="77777777" w:rsidR="0077028B" w:rsidRPr="00B824AA" w:rsidRDefault="0077028B">
            <w:pPr>
              <w:rPr>
                <w:rFonts w:ascii="Times New Roman" w:hAnsi="Times New Roman" w:cs="Times New Roman"/>
                <w:b/>
                <w:bCs/>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129D960D" w14:textId="77777777" w:rsidR="0077028B" w:rsidRPr="00B824AA" w:rsidRDefault="0077028B">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921A9C" w14:textId="4998FE23" w:rsidR="0077028B" w:rsidRPr="00B824AA" w:rsidRDefault="0077028B">
            <w:pPr>
              <w:jc w:val="center"/>
              <w:rPr>
                <w:rFonts w:ascii="Times New Roman" w:hAnsi="Times New Roman" w:cs="Times New Roman"/>
                <w:b/>
                <w:bCs/>
              </w:rPr>
            </w:pPr>
            <w:r w:rsidRPr="00B824AA">
              <w:rPr>
                <w:rFonts w:ascii="Times New Roman" w:hAnsi="Times New Roman" w:cs="Times New Roman"/>
                <w:b/>
                <w:bCs/>
              </w:rPr>
              <w:t xml:space="preserve">Polska – </w:t>
            </w:r>
            <w:r w:rsidR="00C81797" w:rsidRPr="00B824AA">
              <w:rPr>
                <w:rFonts w:ascii="Times New Roman" w:hAnsi="Times New Roman" w:cs="Times New Roman"/>
                <w:b/>
                <w:bCs/>
              </w:rPr>
              <w:t>UE 14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139AC0" w14:textId="59C12A48" w:rsidR="0077028B" w:rsidRPr="00B824AA" w:rsidRDefault="0077028B">
            <w:pPr>
              <w:jc w:val="center"/>
              <w:rPr>
                <w:rFonts w:ascii="Times New Roman" w:hAnsi="Times New Roman" w:cs="Times New Roman"/>
                <w:b/>
                <w:bCs/>
              </w:rPr>
            </w:pPr>
            <w:r w:rsidRPr="00B824AA">
              <w:rPr>
                <w:rFonts w:ascii="Times New Roman" w:hAnsi="Times New Roman" w:cs="Times New Roman"/>
                <w:b/>
                <w:bCs/>
              </w:rPr>
              <w:t xml:space="preserve">Polska – </w:t>
            </w:r>
            <w:r w:rsidR="00C81797" w:rsidRPr="00B824AA">
              <w:rPr>
                <w:rFonts w:ascii="Times New Roman" w:hAnsi="Times New Roman" w:cs="Times New Roman"/>
                <w:b/>
                <w:bCs/>
              </w:rPr>
              <w:t>UE 13</w:t>
            </w:r>
          </w:p>
        </w:tc>
      </w:tr>
      <w:tr w:rsidR="0077028B" w:rsidRPr="00B824AA" w14:paraId="2C6343CD" w14:textId="77777777" w:rsidTr="0077028B">
        <w:tc>
          <w:tcPr>
            <w:tcW w:w="2551" w:type="dxa"/>
            <w:tcBorders>
              <w:top w:val="single" w:sz="4" w:space="0" w:color="auto"/>
              <w:left w:val="single" w:sz="4" w:space="0" w:color="auto"/>
              <w:bottom w:val="nil"/>
              <w:right w:val="single" w:sz="4" w:space="0" w:color="auto"/>
            </w:tcBorders>
            <w:vAlign w:val="center"/>
            <w:hideMark/>
          </w:tcPr>
          <w:p w14:paraId="6330AEB7" w14:textId="77777777" w:rsidR="0077028B" w:rsidRPr="00B824AA" w:rsidRDefault="0077028B">
            <w:pPr>
              <w:rPr>
                <w:rFonts w:ascii="Times New Roman" w:hAnsi="Times New Roman" w:cs="Times New Roman"/>
                <w:b/>
                <w:bCs/>
              </w:rPr>
            </w:pPr>
            <w:r w:rsidRPr="00B824AA">
              <w:rPr>
                <w:rFonts w:ascii="Times New Roman" w:hAnsi="Times New Roman" w:cs="Times New Roman"/>
                <w:b/>
                <w:bCs/>
                <w:color w:val="000000"/>
              </w:rPr>
              <w:t xml:space="preserve">Warunki mieszkaniowe </w:t>
            </w:r>
          </w:p>
        </w:tc>
        <w:tc>
          <w:tcPr>
            <w:tcW w:w="2154" w:type="dxa"/>
            <w:tcBorders>
              <w:top w:val="single" w:sz="4" w:space="0" w:color="auto"/>
              <w:left w:val="single" w:sz="4" w:space="0" w:color="auto"/>
              <w:bottom w:val="nil"/>
              <w:right w:val="single" w:sz="4" w:space="0" w:color="auto"/>
            </w:tcBorders>
          </w:tcPr>
          <w:p w14:paraId="5DAB91F9" w14:textId="77777777" w:rsidR="0077028B" w:rsidRPr="00B824AA" w:rsidRDefault="0077028B">
            <w:pPr>
              <w:tabs>
                <w:tab w:val="decimal" w:pos="1013"/>
              </w:tabs>
              <w:rPr>
                <w:rFonts w:ascii="Times New Roman" w:hAnsi="Times New Roman" w:cs="Times New Roman"/>
                <w:b/>
                <w:bCs/>
              </w:rPr>
            </w:pPr>
          </w:p>
        </w:tc>
        <w:tc>
          <w:tcPr>
            <w:tcW w:w="2154" w:type="dxa"/>
            <w:tcBorders>
              <w:top w:val="single" w:sz="4" w:space="0" w:color="auto"/>
              <w:left w:val="single" w:sz="4" w:space="0" w:color="auto"/>
              <w:bottom w:val="nil"/>
              <w:right w:val="single" w:sz="4" w:space="0" w:color="auto"/>
            </w:tcBorders>
          </w:tcPr>
          <w:p w14:paraId="1A0BE217" w14:textId="77777777" w:rsidR="0077028B" w:rsidRPr="00B824AA" w:rsidRDefault="0077028B">
            <w:pPr>
              <w:tabs>
                <w:tab w:val="decimal" w:pos="1079"/>
              </w:tabs>
              <w:rPr>
                <w:rFonts w:ascii="Times New Roman" w:hAnsi="Times New Roman" w:cs="Times New Roman"/>
                <w:b/>
                <w:bCs/>
              </w:rPr>
            </w:pPr>
          </w:p>
        </w:tc>
        <w:tc>
          <w:tcPr>
            <w:tcW w:w="2154" w:type="dxa"/>
            <w:tcBorders>
              <w:top w:val="single" w:sz="4" w:space="0" w:color="auto"/>
              <w:left w:val="single" w:sz="4" w:space="0" w:color="auto"/>
              <w:bottom w:val="nil"/>
              <w:right w:val="single" w:sz="4" w:space="0" w:color="auto"/>
            </w:tcBorders>
          </w:tcPr>
          <w:p w14:paraId="54ED3DA8" w14:textId="77777777" w:rsidR="0077028B" w:rsidRPr="00B824AA" w:rsidRDefault="0077028B">
            <w:pPr>
              <w:tabs>
                <w:tab w:val="decimal" w:pos="1061"/>
              </w:tabs>
              <w:rPr>
                <w:rFonts w:ascii="Times New Roman" w:hAnsi="Times New Roman" w:cs="Times New Roman"/>
                <w:b/>
                <w:bCs/>
              </w:rPr>
            </w:pPr>
          </w:p>
        </w:tc>
      </w:tr>
      <w:tr w:rsidR="009A0AA0" w:rsidRPr="00B824AA" w14:paraId="1D70F976" w14:textId="77777777" w:rsidTr="00866620">
        <w:tc>
          <w:tcPr>
            <w:tcW w:w="2551" w:type="dxa"/>
            <w:tcBorders>
              <w:top w:val="nil"/>
              <w:left w:val="single" w:sz="4" w:space="0" w:color="auto"/>
              <w:bottom w:val="nil"/>
              <w:right w:val="single" w:sz="4" w:space="0" w:color="auto"/>
            </w:tcBorders>
            <w:vAlign w:val="center"/>
            <w:hideMark/>
          </w:tcPr>
          <w:p w14:paraId="772CED48" w14:textId="77777777" w:rsidR="009A0AA0" w:rsidRPr="00B824AA" w:rsidRDefault="009A0AA0">
            <w:pPr>
              <w:rPr>
                <w:rFonts w:ascii="Times New Roman" w:hAnsi="Times New Roman" w:cs="Times New Roman"/>
                <w:b/>
                <w:bCs/>
              </w:rPr>
            </w:pPr>
            <w:r w:rsidRPr="00B824AA">
              <w:rPr>
                <w:rFonts w:ascii="Times New Roman" w:hAnsi="Times New Roman" w:cs="Times New Roman"/>
                <w:b/>
                <w:bCs/>
                <w:color w:val="000000"/>
              </w:rPr>
              <w:t>2010</w:t>
            </w:r>
          </w:p>
        </w:tc>
        <w:tc>
          <w:tcPr>
            <w:tcW w:w="2154" w:type="dxa"/>
            <w:tcBorders>
              <w:top w:val="nil"/>
              <w:left w:val="single" w:sz="4" w:space="0" w:color="auto"/>
              <w:bottom w:val="nil"/>
              <w:right w:val="single" w:sz="4" w:space="0" w:color="auto"/>
            </w:tcBorders>
            <w:hideMark/>
          </w:tcPr>
          <w:p w14:paraId="1197CCE2" w14:textId="55083B3F" w:rsidR="009A0AA0" w:rsidRPr="009A0AA0" w:rsidRDefault="009A0AA0">
            <w:pPr>
              <w:tabs>
                <w:tab w:val="decimal" w:pos="1013"/>
              </w:tabs>
              <w:rPr>
                <w:rFonts w:ascii="Times New Roman" w:hAnsi="Times New Roman" w:cs="Times New Roman"/>
                <w:b/>
                <w:bCs/>
              </w:rPr>
            </w:pPr>
            <w:r w:rsidRPr="009A0AA0">
              <w:rPr>
                <w:rFonts w:ascii="Times New Roman" w:hAnsi="Times New Roman" w:cs="Times New Roman"/>
              </w:rPr>
              <w:t>71</w:t>
            </w:r>
          </w:p>
        </w:tc>
        <w:tc>
          <w:tcPr>
            <w:tcW w:w="2154" w:type="dxa"/>
            <w:tcBorders>
              <w:top w:val="nil"/>
              <w:left w:val="single" w:sz="4" w:space="0" w:color="auto"/>
              <w:bottom w:val="nil"/>
              <w:right w:val="single" w:sz="4" w:space="0" w:color="auto"/>
            </w:tcBorders>
            <w:hideMark/>
          </w:tcPr>
          <w:p w14:paraId="079BB8F8" w14:textId="1C4031E2" w:rsidR="009A0AA0" w:rsidRPr="009A0AA0" w:rsidRDefault="009A0AA0">
            <w:pPr>
              <w:tabs>
                <w:tab w:val="decimal" w:pos="1079"/>
              </w:tabs>
              <w:rPr>
                <w:rFonts w:ascii="Times New Roman" w:hAnsi="Times New Roman" w:cs="Times New Roman"/>
                <w:b/>
                <w:bCs/>
              </w:rPr>
            </w:pPr>
            <w:r w:rsidRPr="009A0AA0">
              <w:rPr>
                <w:rFonts w:ascii="Times New Roman" w:hAnsi="Times New Roman" w:cs="Times New Roman"/>
              </w:rPr>
              <w:t>67</w:t>
            </w:r>
          </w:p>
        </w:tc>
        <w:tc>
          <w:tcPr>
            <w:tcW w:w="2154" w:type="dxa"/>
            <w:tcBorders>
              <w:top w:val="nil"/>
              <w:left w:val="single" w:sz="4" w:space="0" w:color="auto"/>
              <w:bottom w:val="nil"/>
              <w:right w:val="single" w:sz="4" w:space="0" w:color="auto"/>
            </w:tcBorders>
            <w:hideMark/>
          </w:tcPr>
          <w:p w14:paraId="7C13C4C7" w14:textId="09ECF9FD" w:rsidR="009A0AA0" w:rsidRPr="009A0AA0" w:rsidRDefault="009A0AA0">
            <w:pPr>
              <w:tabs>
                <w:tab w:val="decimal" w:pos="1061"/>
              </w:tabs>
              <w:rPr>
                <w:rFonts w:ascii="Times New Roman" w:hAnsi="Times New Roman" w:cs="Times New Roman"/>
                <w:b/>
                <w:bCs/>
              </w:rPr>
            </w:pPr>
            <w:r w:rsidRPr="009A0AA0">
              <w:rPr>
                <w:rFonts w:ascii="Times New Roman" w:hAnsi="Times New Roman" w:cs="Times New Roman"/>
              </w:rPr>
              <w:t>104</w:t>
            </w:r>
          </w:p>
        </w:tc>
      </w:tr>
      <w:tr w:rsidR="009A0AA0" w:rsidRPr="00B824AA" w14:paraId="1A359A3B" w14:textId="77777777" w:rsidTr="00866620">
        <w:tc>
          <w:tcPr>
            <w:tcW w:w="2551" w:type="dxa"/>
            <w:tcBorders>
              <w:top w:val="nil"/>
              <w:left w:val="single" w:sz="4" w:space="0" w:color="auto"/>
              <w:bottom w:val="nil"/>
              <w:right w:val="single" w:sz="4" w:space="0" w:color="auto"/>
            </w:tcBorders>
            <w:vAlign w:val="center"/>
            <w:hideMark/>
          </w:tcPr>
          <w:p w14:paraId="121EDE64" w14:textId="77777777" w:rsidR="009A0AA0" w:rsidRPr="00B824AA" w:rsidRDefault="009A0AA0">
            <w:pPr>
              <w:rPr>
                <w:rFonts w:ascii="Times New Roman" w:hAnsi="Times New Roman" w:cs="Times New Roman"/>
                <w:b/>
                <w:bCs/>
              </w:rPr>
            </w:pPr>
            <w:r w:rsidRPr="00B824AA">
              <w:rPr>
                <w:rFonts w:ascii="Times New Roman" w:hAnsi="Times New Roman" w:cs="Times New Roman"/>
                <w:b/>
                <w:bCs/>
                <w:color w:val="000000"/>
              </w:rPr>
              <w:t>2015</w:t>
            </w:r>
          </w:p>
        </w:tc>
        <w:tc>
          <w:tcPr>
            <w:tcW w:w="2154" w:type="dxa"/>
            <w:tcBorders>
              <w:top w:val="nil"/>
              <w:left w:val="single" w:sz="4" w:space="0" w:color="auto"/>
              <w:bottom w:val="nil"/>
              <w:right w:val="single" w:sz="4" w:space="0" w:color="auto"/>
            </w:tcBorders>
            <w:hideMark/>
          </w:tcPr>
          <w:p w14:paraId="4546507C" w14:textId="0515F8A0" w:rsidR="009A0AA0" w:rsidRPr="009A0AA0" w:rsidRDefault="009A0AA0">
            <w:pPr>
              <w:tabs>
                <w:tab w:val="decimal" w:pos="1013"/>
              </w:tabs>
              <w:rPr>
                <w:rFonts w:ascii="Times New Roman" w:hAnsi="Times New Roman" w:cs="Times New Roman"/>
                <w:b/>
                <w:bCs/>
              </w:rPr>
            </w:pPr>
            <w:r w:rsidRPr="009A0AA0">
              <w:rPr>
                <w:rFonts w:ascii="Times New Roman" w:hAnsi="Times New Roman" w:cs="Times New Roman"/>
              </w:rPr>
              <w:t>72</w:t>
            </w:r>
          </w:p>
        </w:tc>
        <w:tc>
          <w:tcPr>
            <w:tcW w:w="2154" w:type="dxa"/>
            <w:tcBorders>
              <w:top w:val="nil"/>
              <w:left w:val="single" w:sz="4" w:space="0" w:color="auto"/>
              <w:bottom w:val="nil"/>
              <w:right w:val="single" w:sz="4" w:space="0" w:color="auto"/>
            </w:tcBorders>
            <w:hideMark/>
          </w:tcPr>
          <w:p w14:paraId="358A7AB1" w14:textId="26460496" w:rsidR="009A0AA0" w:rsidRPr="009A0AA0" w:rsidRDefault="009A0AA0">
            <w:pPr>
              <w:tabs>
                <w:tab w:val="decimal" w:pos="1079"/>
              </w:tabs>
              <w:rPr>
                <w:rFonts w:ascii="Times New Roman" w:hAnsi="Times New Roman" w:cs="Times New Roman"/>
                <w:b/>
                <w:bCs/>
              </w:rPr>
            </w:pPr>
            <w:r w:rsidRPr="009A0AA0">
              <w:rPr>
                <w:rFonts w:ascii="Times New Roman" w:hAnsi="Times New Roman" w:cs="Times New Roman"/>
              </w:rPr>
              <w:t>69</w:t>
            </w:r>
          </w:p>
        </w:tc>
        <w:tc>
          <w:tcPr>
            <w:tcW w:w="2154" w:type="dxa"/>
            <w:tcBorders>
              <w:top w:val="nil"/>
              <w:left w:val="single" w:sz="4" w:space="0" w:color="auto"/>
              <w:bottom w:val="nil"/>
              <w:right w:val="single" w:sz="4" w:space="0" w:color="auto"/>
            </w:tcBorders>
            <w:hideMark/>
          </w:tcPr>
          <w:p w14:paraId="1C91A362" w14:textId="6CF891B5" w:rsidR="009A0AA0" w:rsidRPr="009A0AA0" w:rsidRDefault="009A0AA0">
            <w:pPr>
              <w:tabs>
                <w:tab w:val="decimal" w:pos="1061"/>
              </w:tabs>
              <w:rPr>
                <w:rFonts w:ascii="Times New Roman" w:hAnsi="Times New Roman" w:cs="Times New Roman"/>
                <w:b/>
                <w:bCs/>
              </w:rPr>
            </w:pPr>
            <w:r w:rsidRPr="009A0AA0">
              <w:rPr>
                <w:rFonts w:ascii="Times New Roman" w:hAnsi="Times New Roman" w:cs="Times New Roman"/>
              </w:rPr>
              <w:t>94</w:t>
            </w:r>
          </w:p>
        </w:tc>
      </w:tr>
      <w:tr w:rsidR="009A0AA0" w:rsidRPr="00B824AA" w14:paraId="5C86CF55" w14:textId="77777777" w:rsidTr="00866620">
        <w:tc>
          <w:tcPr>
            <w:tcW w:w="2551" w:type="dxa"/>
            <w:tcBorders>
              <w:top w:val="nil"/>
              <w:left w:val="single" w:sz="4" w:space="0" w:color="auto"/>
              <w:bottom w:val="nil"/>
              <w:right w:val="single" w:sz="4" w:space="0" w:color="auto"/>
            </w:tcBorders>
            <w:vAlign w:val="center"/>
            <w:hideMark/>
          </w:tcPr>
          <w:p w14:paraId="156A82AF" w14:textId="77777777" w:rsidR="009A0AA0" w:rsidRPr="00B824AA" w:rsidRDefault="009A0AA0">
            <w:pPr>
              <w:rPr>
                <w:rFonts w:ascii="Times New Roman" w:hAnsi="Times New Roman" w:cs="Times New Roman"/>
                <w:b/>
                <w:bCs/>
              </w:rPr>
            </w:pPr>
            <w:r w:rsidRPr="00B824AA">
              <w:rPr>
                <w:rFonts w:ascii="Times New Roman" w:hAnsi="Times New Roman" w:cs="Times New Roman"/>
                <w:b/>
                <w:bCs/>
                <w:color w:val="000000"/>
              </w:rPr>
              <w:t>2020</w:t>
            </w:r>
          </w:p>
        </w:tc>
        <w:tc>
          <w:tcPr>
            <w:tcW w:w="2154" w:type="dxa"/>
            <w:tcBorders>
              <w:top w:val="nil"/>
              <w:left w:val="single" w:sz="4" w:space="0" w:color="auto"/>
              <w:bottom w:val="nil"/>
              <w:right w:val="single" w:sz="4" w:space="0" w:color="auto"/>
            </w:tcBorders>
            <w:hideMark/>
          </w:tcPr>
          <w:p w14:paraId="32241E5C" w14:textId="2BFAC2C1" w:rsidR="009A0AA0" w:rsidRPr="009A0AA0" w:rsidRDefault="009A0AA0">
            <w:pPr>
              <w:tabs>
                <w:tab w:val="decimal" w:pos="1013"/>
              </w:tabs>
              <w:rPr>
                <w:rFonts w:ascii="Times New Roman" w:hAnsi="Times New Roman" w:cs="Times New Roman"/>
                <w:b/>
                <w:bCs/>
              </w:rPr>
            </w:pPr>
            <w:r w:rsidRPr="009A0AA0">
              <w:rPr>
                <w:rFonts w:ascii="Times New Roman" w:hAnsi="Times New Roman" w:cs="Times New Roman"/>
              </w:rPr>
              <w:t>98</w:t>
            </w:r>
          </w:p>
        </w:tc>
        <w:tc>
          <w:tcPr>
            <w:tcW w:w="2154" w:type="dxa"/>
            <w:tcBorders>
              <w:top w:val="nil"/>
              <w:left w:val="single" w:sz="4" w:space="0" w:color="auto"/>
              <w:bottom w:val="nil"/>
              <w:right w:val="single" w:sz="4" w:space="0" w:color="auto"/>
            </w:tcBorders>
            <w:hideMark/>
          </w:tcPr>
          <w:p w14:paraId="2EAD7E66" w14:textId="143F5F3D" w:rsidR="009A0AA0" w:rsidRPr="009A0AA0" w:rsidRDefault="009A0AA0">
            <w:pPr>
              <w:tabs>
                <w:tab w:val="decimal" w:pos="1079"/>
              </w:tabs>
              <w:rPr>
                <w:rFonts w:ascii="Times New Roman" w:hAnsi="Times New Roman" w:cs="Times New Roman"/>
                <w:b/>
                <w:bCs/>
              </w:rPr>
            </w:pPr>
            <w:r w:rsidRPr="009A0AA0">
              <w:rPr>
                <w:rFonts w:ascii="Times New Roman" w:hAnsi="Times New Roman" w:cs="Times New Roman"/>
              </w:rPr>
              <w:t>100</w:t>
            </w:r>
          </w:p>
        </w:tc>
        <w:tc>
          <w:tcPr>
            <w:tcW w:w="2154" w:type="dxa"/>
            <w:tcBorders>
              <w:top w:val="nil"/>
              <w:left w:val="single" w:sz="4" w:space="0" w:color="auto"/>
              <w:bottom w:val="nil"/>
              <w:right w:val="single" w:sz="4" w:space="0" w:color="auto"/>
            </w:tcBorders>
            <w:hideMark/>
          </w:tcPr>
          <w:p w14:paraId="50D6D3C3" w14:textId="3F89D4E5" w:rsidR="009A0AA0" w:rsidRPr="009A0AA0" w:rsidRDefault="009A0AA0">
            <w:pPr>
              <w:tabs>
                <w:tab w:val="decimal" w:pos="1061"/>
              </w:tabs>
              <w:rPr>
                <w:rFonts w:ascii="Times New Roman" w:hAnsi="Times New Roman" w:cs="Times New Roman"/>
                <w:b/>
                <w:bCs/>
              </w:rPr>
            </w:pPr>
            <w:r w:rsidRPr="009A0AA0">
              <w:rPr>
                <w:rFonts w:ascii="Times New Roman" w:hAnsi="Times New Roman" w:cs="Times New Roman"/>
              </w:rPr>
              <w:t>102</w:t>
            </w:r>
          </w:p>
        </w:tc>
      </w:tr>
      <w:tr w:rsidR="009A0AA0" w:rsidRPr="00B824AA" w14:paraId="14272B0E" w14:textId="77777777" w:rsidTr="00866620">
        <w:tc>
          <w:tcPr>
            <w:tcW w:w="2551" w:type="dxa"/>
            <w:tcBorders>
              <w:top w:val="nil"/>
              <w:left w:val="single" w:sz="4" w:space="0" w:color="auto"/>
              <w:bottom w:val="nil"/>
              <w:right w:val="single" w:sz="4" w:space="0" w:color="auto"/>
            </w:tcBorders>
            <w:vAlign w:val="center"/>
            <w:hideMark/>
          </w:tcPr>
          <w:p w14:paraId="3ACCD482" w14:textId="77777777" w:rsidR="009A0AA0" w:rsidRPr="00B824AA" w:rsidRDefault="009A0AA0">
            <w:pPr>
              <w:rPr>
                <w:rFonts w:ascii="Times New Roman" w:hAnsi="Times New Roman" w:cs="Times New Roman"/>
                <w:b/>
                <w:bCs/>
                <w:color w:val="000000"/>
              </w:rPr>
            </w:pPr>
            <w:r w:rsidRPr="00B824AA">
              <w:rPr>
                <w:rFonts w:ascii="Times New Roman" w:hAnsi="Times New Roman" w:cs="Times New Roman"/>
                <w:b/>
                <w:bCs/>
                <w:color w:val="000000"/>
              </w:rPr>
              <w:t>2021</w:t>
            </w:r>
          </w:p>
        </w:tc>
        <w:tc>
          <w:tcPr>
            <w:tcW w:w="2154" w:type="dxa"/>
            <w:tcBorders>
              <w:top w:val="nil"/>
              <w:left w:val="single" w:sz="4" w:space="0" w:color="auto"/>
              <w:bottom w:val="nil"/>
              <w:right w:val="single" w:sz="4" w:space="0" w:color="auto"/>
            </w:tcBorders>
            <w:hideMark/>
          </w:tcPr>
          <w:p w14:paraId="5F0156E4" w14:textId="4E22A27F" w:rsidR="009A0AA0" w:rsidRPr="009A0AA0" w:rsidRDefault="009A0AA0">
            <w:pPr>
              <w:tabs>
                <w:tab w:val="decimal" w:pos="1013"/>
              </w:tabs>
              <w:rPr>
                <w:rFonts w:ascii="Times New Roman" w:hAnsi="Times New Roman" w:cs="Times New Roman"/>
                <w:b/>
                <w:bCs/>
              </w:rPr>
            </w:pPr>
            <w:r w:rsidRPr="009A0AA0">
              <w:rPr>
                <w:rFonts w:ascii="Times New Roman" w:hAnsi="Times New Roman" w:cs="Times New Roman"/>
              </w:rPr>
              <w:t>95</w:t>
            </w:r>
          </w:p>
        </w:tc>
        <w:tc>
          <w:tcPr>
            <w:tcW w:w="2154" w:type="dxa"/>
            <w:tcBorders>
              <w:top w:val="nil"/>
              <w:left w:val="single" w:sz="4" w:space="0" w:color="auto"/>
              <w:bottom w:val="nil"/>
              <w:right w:val="single" w:sz="4" w:space="0" w:color="auto"/>
            </w:tcBorders>
            <w:hideMark/>
          </w:tcPr>
          <w:p w14:paraId="516F5699" w14:textId="7CB877CE" w:rsidR="009A0AA0" w:rsidRPr="009A0AA0" w:rsidRDefault="009A0AA0">
            <w:pPr>
              <w:tabs>
                <w:tab w:val="decimal" w:pos="1079"/>
              </w:tabs>
              <w:rPr>
                <w:rFonts w:ascii="Times New Roman" w:hAnsi="Times New Roman" w:cs="Times New Roman"/>
                <w:b/>
                <w:bCs/>
              </w:rPr>
            </w:pPr>
            <w:r w:rsidRPr="009A0AA0">
              <w:rPr>
                <w:rFonts w:ascii="Times New Roman" w:hAnsi="Times New Roman" w:cs="Times New Roman"/>
              </w:rPr>
              <w:t>97</w:t>
            </w:r>
          </w:p>
        </w:tc>
        <w:tc>
          <w:tcPr>
            <w:tcW w:w="2154" w:type="dxa"/>
            <w:tcBorders>
              <w:top w:val="nil"/>
              <w:left w:val="single" w:sz="4" w:space="0" w:color="auto"/>
              <w:bottom w:val="nil"/>
              <w:right w:val="single" w:sz="4" w:space="0" w:color="auto"/>
            </w:tcBorders>
            <w:hideMark/>
          </w:tcPr>
          <w:p w14:paraId="375A0965" w14:textId="60E2F929" w:rsidR="009A0AA0" w:rsidRPr="009A0AA0" w:rsidRDefault="009A0AA0">
            <w:pPr>
              <w:tabs>
                <w:tab w:val="decimal" w:pos="1061"/>
              </w:tabs>
              <w:rPr>
                <w:rFonts w:ascii="Times New Roman" w:hAnsi="Times New Roman" w:cs="Times New Roman"/>
                <w:b/>
                <w:bCs/>
              </w:rPr>
            </w:pPr>
            <w:r w:rsidRPr="009A0AA0">
              <w:rPr>
                <w:rFonts w:ascii="Times New Roman" w:hAnsi="Times New Roman" w:cs="Times New Roman"/>
              </w:rPr>
              <w:t>100</w:t>
            </w:r>
          </w:p>
        </w:tc>
      </w:tr>
      <w:tr w:rsidR="009A0AA0" w:rsidRPr="00B824AA" w14:paraId="1DB33C04" w14:textId="77777777" w:rsidTr="00866620">
        <w:tc>
          <w:tcPr>
            <w:tcW w:w="2551" w:type="dxa"/>
            <w:tcBorders>
              <w:top w:val="nil"/>
              <w:left w:val="single" w:sz="4" w:space="0" w:color="auto"/>
              <w:bottom w:val="nil"/>
              <w:right w:val="single" w:sz="4" w:space="0" w:color="auto"/>
            </w:tcBorders>
            <w:vAlign w:val="center"/>
          </w:tcPr>
          <w:p w14:paraId="1D510DCB" w14:textId="001232EF" w:rsidR="009A0AA0" w:rsidRPr="00B824AA" w:rsidRDefault="009A0AA0">
            <w:pPr>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left w:val="single" w:sz="4" w:space="0" w:color="auto"/>
              <w:bottom w:val="nil"/>
              <w:right w:val="single" w:sz="4" w:space="0" w:color="auto"/>
            </w:tcBorders>
          </w:tcPr>
          <w:p w14:paraId="498AE3C3" w14:textId="7E7D7933" w:rsidR="009A0AA0" w:rsidRPr="009A0AA0" w:rsidRDefault="009A0AA0">
            <w:pPr>
              <w:tabs>
                <w:tab w:val="decimal" w:pos="1013"/>
              </w:tabs>
              <w:rPr>
                <w:rFonts w:ascii="Times New Roman" w:hAnsi="Times New Roman" w:cs="Times New Roman"/>
                <w:b/>
                <w:bCs/>
                <w:color w:val="000000"/>
              </w:rPr>
            </w:pPr>
            <w:r w:rsidRPr="009A0AA0">
              <w:rPr>
                <w:rFonts w:ascii="Times New Roman" w:hAnsi="Times New Roman" w:cs="Times New Roman"/>
              </w:rPr>
              <w:t>96</w:t>
            </w:r>
          </w:p>
        </w:tc>
        <w:tc>
          <w:tcPr>
            <w:tcW w:w="2154" w:type="dxa"/>
            <w:tcBorders>
              <w:top w:val="nil"/>
              <w:left w:val="single" w:sz="4" w:space="0" w:color="auto"/>
              <w:bottom w:val="nil"/>
              <w:right w:val="single" w:sz="4" w:space="0" w:color="auto"/>
            </w:tcBorders>
          </w:tcPr>
          <w:p w14:paraId="70508076" w14:textId="2E9F9B88" w:rsidR="009A0AA0" w:rsidRPr="009A0AA0" w:rsidRDefault="009A0AA0">
            <w:pPr>
              <w:tabs>
                <w:tab w:val="decimal" w:pos="1079"/>
              </w:tabs>
              <w:rPr>
                <w:rFonts w:ascii="Times New Roman" w:hAnsi="Times New Roman" w:cs="Times New Roman"/>
                <w:b/>
                <w:bCs/>
                <w:color w:val="000000"/>
              </w:rPr>
            </w:pPr>
            <w:r w:rsidRPr="009A0AA0">
              <w:rPr>
                <w:rFonts w:ascii="Times New Roman" w:hAnsi="Times New Roman" w:cs="Times New Roman"/>
              </w:rPr>
              <w:t>100</w:t>
            </w:r>
          </w:p>
        </w:tc>
        <w:tc>
          <w:tcPr>
            <w:tcW w:w="2154" w:type="dxa"/>
            <w:tcBorders>
              <w:top w:val="nil"/>
              <w:left w:val="single" w:sz="4" w:space="0" w:color="auto"/>
              <w:bottom w:val="nil"/>
              <w:right w:val="single" w:sz="4" w:space="0" w:color="auto"/>
            </w:tcBorders>
          </w:tcPr>
          <w:p w14:paraId="5B5D19CA" w14:textId="3C1E6994" w:rsidR="009A0AA0" w:rsidRPr="009A0AA0" w:rsidRDefault="009A0AA0">
            <w:pPr>
              <w:tabs>
                <w:tab w:val="decimal" w:pos="1061"/>
              </w:tabs>
              <w:rPr>
                <w:rFonts w:ascii="Times New Roman" w:hAnsi="Times New Roman" w:cs="Times New Roman"/>
                <w:b/>
                <w:bCs/>
                <w:color w:val="000000"/>
              </w:rPr>
            </w:pPr>
            <w:r w:rsidRPr="009A0AA0">
              <w:rPr>
                <w:rFonts w:ascii="Times New Roman" w:hAnsi="Times New Roman" w:cs="Times New Roman"/>
              </w:rPr>
              <w:t>98</w:t>
            </w:r>
          </w:p>
        </w:tc>
      </w:tr>
      <w:tr w:rsidR="001D1F8A" w:rsidRPr="00B824AA" w14:paraId="769C9CEB" w14:textId="77777777" w:rsidTr="0077028B">
        <w:tc>
          <w:tcPr>
            <w:tcW w:w="2551" w:type="dxa"/>
            <w:tcBorders>
              <w:top w:val="nil"/>
              <w:left w:val="single" w:sz="4" w:space="0" w:color="auto"/>
              <w:bottom w:val="nil"/>
              <w:right w:val="single" w:sz="4" w:space="0" w:color="auto"/>
            </w:tcBorders>
            <w:vAlign w:val="center"/>
          </w:tcPr>
          <w:p w14:paraId="2E584AE3" w14:textId="77777777" w:rsidR="001D1F8A" w:rsidRPr="00B824AA" w:rsidRDefault="001D1F8A">
            <w:pPr>
              <w:rPr>
                <w:rFonts w:ascii="Times New Roman" w:hAnsi="Times New Roman" w:cs="Times New Roman"/>
                <w:color w:val="000000"/>
              </w:rPr>
            </w:pPr>
          </w:p>
        </w:tc>
        <w:tc>
          <w:tcPr>
            <w:tcW w:w="2154" w:type="dxa"/>
            <w:tcBorders>
              <w:top w:val="nil"/>
              <w:left w:val="single" w:sz="4" w:space="0" w:color="auto"/>
              <w:bottom w:val="nil"/>
              <w:right w:val="single" w:sz="4" w:space="0" w:color="auto"/>
            </w:tcBorders>
          </w:tcPr>
          <w:p w14:paraId="0C3DC03C" w14:textId="77777777" w:rsidR="001D1F8A" w:rsidRPr="00B824AA" w:rsidRDefault="001D1F8A">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38046223" w14:textId="77777777" w:rsidR="001D1F8A" w:rsidRPr="00B824AA" w:rsidRDefault="001D1F8A">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1B35B63A" w14:textId="77777777" w:rsidR="001D1F8A" w:rsidRPr="00B824AA" w:rsidRDefault="001D1F8A">
            <w:pPr>
              <w:tabs>
                <w:tab w:val="decimal" w:pos="1061"/>
              </w:tabs>
              <w:rPr>
                <w:rFonts w:ascii="Times New Roman" w:hAnsi="Times New Roman" w:cs="Times New Roman"/>
                <w:b/>
                <w:bCs/>
              </w:rPr>
            </w:pPr>
          </w:p>
        </w:tc>
      </w:tr>
      <w:tr w:rsidR="0077028B" w:rsidRPr="00B824AA" w14:paraId="146D180E" w14:textId="77777777" w:rsidTr="0077028B">
        <w:tc>
          <w:tcPr>
            <w:tcW w:w="2551" w:type="dxa"/>
            <w:tcBorders>
              <w:top w:val="nil"/>
              <w:left w:val="single" w:sz="4" w:space="0" w:color="auto"/>
              <w:bottom w:val="nil"/>
              <w:right w:val="single" w:sz="4" w:space="0" w:color="auto"/>
            </w:tcBorders>
            <w:vAlign w:val="center"/>
            <w:hideMark/>
          </w:tcPr>
          <w:p w14:paraId="3DAB76E0" w14:textId="068B18A5" w:rsidR="0077028B" w:rsidRPr="00B824AA" w:rsidRDefault="0077028B">
            <w:pPr>
              <w:rPr>
                <w:rFonts w:ascii="Times New Roman" w:hAnsi="Times New Roman" w:cs="Times New Roman"/>
                <w:b/>
                <w:bCs/>
              </w:rPr>
            </w:pPr>
            <w:r w:rsidRPr="00B824AA">
              <w:rPr>
                <w:rFonts w:ascii="Times New Roman" w:hAnsi="Times New Roman" w:cs="Times New Roman"/>
                <w:color w:val="000000"/>
              </w:rPr>
              <w:t>przeludnienie mieszkań</w:t>
            </w:r>
          </w:p>
        </w:tc>
        <w:tc>
          <w:tcPr>
            <w:tcW w:w="2154" w:type="dxa"/>
            <w:tcBorders>
              <w:top w:val="nil"/>
              <w:left w:val="single" w:sz="4" w:space="0" w:color="auto"/>
              <w:bottom w:val="nil"/>
              <w:right w:val="single" w:sz="4" w:space="0" w:color="auto"/>
            </w:tcBorders>
          </w:tcPr>
          <w:p w14:paraId="75FC5174" w14:textId="77777777" w:rsidR="0077028B" w:rsidRPr="00B824AA" w:rsidRDefault="0077028B">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6BCDC66D" w14:textId="77777777" w:rsidR="0077028B" w:rsidRPr="00B824AA" w:rsidRDefault="0077028B">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50422408" w14:textId="77777777" w:rsidR="0077028B" w:rsidRPr="00B824AA" w:rsidRDefault="0077028B">
            <w:pPr>
              <w:tabs>
                <w:tab w:val="decimal" w:pos="1061"/>
              </w:tabs>
              <w:rPr>
                <w:rFonts w:ascii="Times New Roman" w:hAnsi="Times New Roman" w:cs="Times New Roman"/>
                <w:b/>
                <w:bCs/>
              </w:rPr>
            </w:pPr>
          </w:p>
        </w:tc>
      </w:tr>
      <w:tr w:rsidR="008C4D90" w:rsidRPr="00B824AA" w14:paraId="5CEB38C1" w14:textId="77777777" w:rsidTr="0077028B">
        <w:tc>
          <w:tcPr>
            <w:tcW w:w="2551" w:type="dxa"/>
            <w:tcBorders>
              <w:top w:val="nil"/>
              <w:left w:val="single" w:sz="4" w:space="0" w:color="auto"/>
              <w:bottom w:val="nil"/>
              <w:right w:val="single" w:sz="4" w:space="0" w:color="auto"/>
            </w:tcBorders>
            <w:vAlign w:val="center"/>
            <w:hideMark/>
          </w:tcPr>
          <w:p w14:paraId="3840A010" w14:textId="77777777" w:rsidR="008C4D90" w:rsidRPr="00B824AA" w:rsidRDefault="008C4D90">
            <w:pPr>
              <w:rPr>
                <w:rFonts w:ascii="Times New Roman" w:hAnsi="Times New Roman" w:cs="Times New Roman"/>
                <w:b/>
                <w:bCs/>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vAlign w:val="bottom"/>
            <w:hideMark/>
          </w:tcPr>
          <w:p w14:paraId="22494A86" w14:textId="41CD019E" w:rsidR="008C4D90" w:rsidRPr="008C4D90" w:rsidRDefault="008C4D90">
            <w:pPr>
              <w:tabs>
                <w:tab w:val="decimal" w:pos="1013"/>
              </w:tabs>
              <w:rPr>
                <w:rFonts w:ascii="Times New Roman" w:hAnsi="Times New Roman" w:cs="Times New Roman"/>
                <w:b/>
                <w:bCs/>
              </w:rPr>
            </w:pPr>
            <w:r w:rsidRPr="008C4D90">
              <w:rPr>
                <w:rFonts w:ascii="Times New Roman" w:hAnsi="Times New Roman" w:cs="Times New Roman"/>
                <w:color w:val="000000"/>
              </w:rPr>
              <w:t>19</w:t>
            </w:r>
          </w:p>
        </w:tc>
        <w:tc>
          <w:tcPr>
            <w:tcW w:w="2154" w:type="dxa"/>
            <w:tcBorders>
              <w:top w:val="nil"/>
              <w:left w:val="single" w:sz="4" w:space="0" w:color="auto"/>
              <w:bottom w:val="nil"/>
              <w:right w:val="single" w:sz="4" w:space="0" w:color="auto"/>
            </w:tcBorders>
            <w:vAlign w:val="bottom"/>
            <w:hideMark/>
          </w:tcPr>
          <w:p w14:paraId="70BCBFCF" w14:textId="23E18350" w:rsidR="008C4D90" w:rsidRPr="008C4D90" w:rsidRDefault="008C4D90">
            <w:pPr>
              <w:tabs>
                <w:tab w:val="decimal" w:pos="1079"/>
              </w:tabs>
              <w:rPr>
                <w:rFonts w:ascii="Times New Roman" w:hAnsi="Times New Roman" w:cs="Times New Roman"/>
                <w:b/>
                <w:bCs/>
              </w:rPr>
            </w:pPr>
            <w:r w:rsidRPr="008C4D90">
              <w:rPr>
                <w:rFonts w:ascii="Times New Roman" w:hAnsi="Times New Roman" w:cs="Times New Roman"/>
                <w:color w:val="000000"/>
              </w:rPr>
              <w:t>15</w:t>
            </w:r>
          </w:p>
        </w:tc>
        <w:tc>
          <w:tcPr>
            <w:tcW w:w="2154" w:type="dxa"/>
            <w:tcBorders>
              <w:top w:val="nil"/>
              <w:left w:val="single" w:sz="4" w:space="0" w:color="auto"/>
              <w:bottom w:val="nil"/>
              <w:right w:val="single" w:sz="4" w:space="0" w:color="auto"/>
            </w:tcBorders>
            <w:vAlign w:val="bottom"/>
            <w:hideMark/>
          </w:tcPr>
          <w:p w14:paraId="14174CD5" w14:textId="04E080B9" w:rsidR="008C4D90" w:rsidRPr="008C4D90" w:rsidRDefault="008C4D90">
            <w:pPr>
              <w:tabs>
                <w:tab w:val="decimal" w:pos="1061"/>
              </w:tabs>
              <w:rPr>
                <w:rFonts w:ascii="Times New Roman" w:hAnsi="Times New Roman" w:cs="Times New Roman"/>
                <w:b/>
                <w:bCs/>
              </w:rPr>
            </w:pPr>
            <w:r w:rsidRPr="008C4D90">
              <w:rPr>
                <w:rFonts w:ascii="Times New Roman" w:hAnsi="Times New Roman" w:cs="Times New Roman"/>
                <w:color w:val="000000"/>
              </w:rPr>
              <w:t>80</w:t>
            </w:r>
          </w:p>
        </w:tc>
      </w:tr>
      <w:tr w:rsidR="008C4D90" w:rsidRPr="00B824AA" w14:paraId="5304F45F" w14:textId="77777777" w:rsidTr="0077028B">
        <w:tc>
          <w:tcPr>
            <w:tcW w:w="2551" w:type="dxa"/>
            <w:tcBorders>
              <w:top w:val="nil"/>
              <w:left w:val="single" w:sz="4" w:space="0" w:color="auto"/>
              <w:bottom w:val="nil"/>
              <w:right w:val="single" w:sz="4" w:space="0" w:color="auto"/>
            </w:tcBorders>
            <w:vAlign w:val="center"/>
            <w:hideMark/>
          </w:tcPr>
          <w:p w14:paraId="46ED38DA" w14:textId="77777777" w:rsidR="008C4D90" w:rsidRPr="00B824AA" w:rsidRDefault="008C4D90">
            <w:pPr>
              <w:rPr>
                <w:rFonts w:ascii="Times New Roman" w:hAnsi="Times New Roman" w:cs="Times New Roman"/>
                <w:b/>
                <w:bCs/>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vAlign w:val="bottom"/>
            <w:hideMark/>
          </w:tcPr>
          <w:p w14:paraId="15AADCE3" w14:textId="0963E11D" w:rsidR="008C4D90" w:rsidRPr="008C4D90" w:rsidRDefault="008C4D90">
            <w:pPr>
              <w:tabs>
                <w:tab w:val="decimal" w:pos="1013"/>
              </w:tabs>
              <w:rPr>
                <w:rFonts w:ascii="Times New Roman" w:hAnsi="Times New Roman" w:cs="Times New Roman"/>
                <w:b/>
                <w:bCs/>
              </w:rPr>
            </w:pPr>
            <w:r w:rsidRPr="008C4D90">
              <w:rPr>
                <w:rFonts w:ascii="Times New Roman" w:hAnsi="Times New Roman" w:cs="Times New Roman"/>
                <w:color w:val="000000"/>
              </w:rPr>
              <w:t>19</w:t>
            </w:r>
          </w:p>
        </w:tc>
        <w:tc>
          <w:tcPr>
            <w:tcW w:w="2154" w:type="dxa"/>
            <w:tcBorders>
              <w:top w:val="nil"/>
              <w:left w:val="single" w:sz="4" w:space="0" w:color="auto"/>
              <w:bottom w:val="nil"/>
              <w:right w:val="single" w:sz="4" w:space="0" w:color="auto"/>
            </w:tcBorders>
            <w:vAlign w:val="bottom"/>
            <w:hideMark/>
          </w:tcPr>
          <w:p w14:paraId="56E8B433" w14:textId="7646EA76" w:rsidR="008C4D90" w:rsidRPr="008C4D90" w:rsidRDefault="008C4D90">
            <w:pPr>
              <w:tabs>
                <w:tab w:val="decimal" w:pos="1079"/>
              </w:tabs>
              <w:rPr>
                <w:rFonts w:ascii="Times New Roman" w:hAnsi="Times New Roman" w:cs="Times New Roman"/>
                <w:b/>
                <w:bCs/>
              </w:rPr>
            </w:pPr>
            <w:r w:rsidRPr="008C4D90">
              <w:rPr>
                <w:rFonts w:ascii="Times New Roman" w:hAnsi="Times New Roman" w:cs="Times New Roman"/>
                <w:color w:val="000000"/>
              </w:rPr>
              <w:t>16</w:t>
            </w:r>
          </w:p>
        </w:tc>
        <w:tc>
          <w:tcPr>
            <w:tcW w:w="2154" w:type="dxa"/>
            <w:tcBorders>
              <w:top w:val="nil"/>
              <w:left w:val="single" w:sz="4" w:space="0" w:color="auto"/>
              <w:bottom w:val="nil"/>
              <w:right w:val="single" w:sz="4" w:space="0" w:color="auto"/>
            </w:tcBorders>
            <w:vAlign w:val="bottom"/>
            <w:hideMark/>
          </w:tcPr>
          <w:p w14:paraId="3855EA29" w14:textId="519351CD" w:rsidR="008C4D90" w:rsidRPr="008C4D90" w:rsidRDefault="008C4D90">
            <w:pPr>
              <w:tabs>
                <w:tab w:val="decimal" w:pos="1061"/>
              </w:tabs>
              <w:rPr>
                <w:rFonts w:ascii="Times New Roman" w:hAnsi="Times New Roman" w:cs="Times New Roman"/>
                <w:b/>
                <w:bCs/>
              </w:rPr>
            </w:pPr>
            <w:r w:rsidRPr="008C4D90">
              <w:rPr>
                <w:rFonts w:ascii="Times New Roman" w:hAnsi="Times New Roman" w:cs="Times New Roman"/>
                <w:color w:val="000000"/>
              </w:rPr>
              <w:t>67</w:t>
            </w:r>
          </w:p>
        </w:tc>
      </w:tr>
      <w:tr w:rsidR="008C4D90" w:rsidRPr="00B824AA" w14:paraId="798E7AA8" w14:textId="77777777" w:rsidTr="0077028B">
        <w:tc>
          <w:tcPr>
            <w:tcW w:w="2551" w:type="dxa"/>
            <w:tcBorders>
              <w:top w:val="nil"/>
              <w:left w:val="single" w:sz="4" w:space="0" w:color="auto"/>
              <w:bottom w:val="nil"/>
              <w:right w:val="single" w:sz="4" w:space="0" w:color="auto"/>
            </w:tcBorders>
            <w:vAlign w:val="center"/>
            <w:hideMark/>
          </w:tcPr>
          <w:p w14:paraId="001FB350" w14:textId="77777777" w:rsidR="008C4D90" w:rsidRPr="00B824AA" w:rsidRDefault="008C4D90">
            <w:pPr>
              <w:rPr>
                <w:rFonts w:ascii="Times New Roman" w:hAnsi="Times New Roman" w:cs="Times New Roman"/>
                <w:b/>
                <w:bCs/>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vAlign w:val="bottom"/>
            <w:hideMark/>
          </w:tcPr>
          <w:p w14:paraId="5B2EAC86" w14:textId="3382EA08" w:rsidR="008C4D90" w:rsidRPr="008C4D90" w:rsidRDefault="008C4D90">
            <w:pPr>
              <w:tabs>
                <w:tab w:val="decimal" w:pos="1013"/>
              </w:tabs>
              <w:rPr>
                <w:rFonts w:ascii="Times New Roman" w:hAnsi="Times New Roman" w:cs="Times New Roman"/>
                <w:b/>
                <w:bCs/>
              </w:rPr>
            </w:pPr>
            <w:r w:rsidRPr="008C4D90">
              <w:rPr>
                <w:rFonts w:ascii="Times New Roman" w:hAnsi="Times New Roman" w:cs="Times New Roman"/>
                <w:color w:val="000000"/>
              </w:rPr>
              <w:t>31</w:t>
            </w:r>
          </w:p>
        </w:tc>
        <w:tc>
          <w:tcPr>
            <w:tcW w:w="2154" w:type="dxa"/>
            <w:tcBorders>
              <w:top w:val="nil"/>
              <w:left w:val="single" w:sz="4" w:space="0" w:color="auto"/>
              <w:bottom w:val="nil"/>
              <w:right w:val="single" w:sz="4" w:space="0" w:color="auto"/>
            </w:tcBorders>
            <w:vAlign w:val="bottom"/>
            <w:hideMark/>
          </w:tcPr>
          <w:p w14:paraId="289D6DD2" w14:textId="33A5E66A" w:rsidR="008C4D90" w:rsidRPr="008C4D90" w:rsidRDefault="008C4D90">
            <w:pPr>
              <w:tabs>
                <w:tab w:val="decimal" w:pos="1079"/>
              </w:tabs>
              <w:rPr>
                <w:rFonts w:ascii="Times New Roman" w:hAnsi="Times New Roman" w:cs="Times New Roman"/>
                <w:b/>
                <w:bCs/>
              </w:rPr>
            </w:pPr>
            <w:r w:rsidRPr="008C4D90">
              <w:rPr>
                <w:rFonts w:ascii="Times New Roman" w:hAnsi="Times New Roman" w:cs="Times New Roman"/>
                <w:color w:val="000000"/>
              </w:rPr>
              <w:t>27</w:t>
            </w:r>
          </w:p>
        </w:tc>
        <w:tc>
          <w:tcPr>
            <w:tcW w:w="2154" w:type="dxa"/>
            <w:tcBorders>
              <w:top w:val="nil"/>
              <w:left w:val="single" w:sz="4" w:space="0" w:color="auto"/>
              <w:bottom w:val="nil"/>
              <w:right w:val="single" w:sz="4" w:space="0" w:color="auto"/>
            </w:tcBorders>
            <w:vAlign w:val="bottom"/>
            <w:hideMark/>
          </w:tcPr>
          <w:p w14:paraId="3A8ACAAF" w14:textId="575A4E58" w:rsidR="008C4D90" w:rsidRPr="008C4D90" w:rsidRDefault="008C4D90">
            <w:pPr>
              <w:tabs>
                <w:tab w:val="decimal" w:pos="1061"/>
              </w:tabs>
              <w:rPr>
                <w:rFonts w:ascii="Times New Roman" w:hAnsi="Times New Roman" w:cs="Times New Roman"/>
                <w:b/>
                <w:bCs/>
              </w:rPr>
            </w:pPr>
            <w:r w:rsidRPr="008C4D90">
              <w:rPr>
                <w:rFonts w:ascii="Times New Roman" w:hAnsi="Times New Roman" w:cs="Times New Roman"/>
                <w:color w:val="000000"/>
              </w:rPr>
              <w:t>69</w:t>
            </w:r>
          </w:p>
        </w:tc>
      </w:tr>
      <w:tr w:rsidR="008C4D90" w:rsidRPr="00B824AA" w14:paraId="087ACB98" w14:textId="77777777" w:rsidTr="0077028B">
        <w:tc>
          <w:tcPr>
            <w:tcW w:w="2551" w:type="dxa"/>
            <w:tcBorders>
              <w:top w:val="nil"/>
              <w:left w:val="single" w:sz="4" w:space="0" w:color="auto"/>
              <w:bottom w:val="nil"/>
              <w:right w:val="single" w:sz="4" w:space="0" w:color="auto"/>
            </w:tcBorders>
            <w:vAlign w:val="center"/>
            <w:hideMark/>
          </w:tcPr>
          <w:p w14:paraId="6A046C20" w14:textId="77777777" w:rsidR="008C4D90" w:rsidRPr="00B824AA" w:rsidRDefault="008C4D90">
            <w:pPr>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vAlign w:val="bottom"/>
            <w:hideMark/>
          </w:tcPr>
          <w:p w14:paraId="46B4F372" w14:textId="45770E3B" w:rsidR="008C4D90" w:rsidRPr="008C4D90" w:rsidRDefault="008C4D90">
            <w:pPr>
              <w:tabs>
                <w:tab w:val="decimal" w:pos="1013"/>
              </w:tabs>
              <w:rPr>
                <w:rFonts w:ascii="Times New Roman" w:hAnsi="Times New Roman" w:cs="Times New Roman"/>
              </w:rPr>
            </w:pPr>
            <w:r w:rsidRPr="008C4D90">
              <w:rPr>
                <w:rFonts w:ascii="Times New Roman" w:hAnsi="Times New Roman" w:cs="Times New Roman"/>
                <w:color w:val="000000"/>
              </w:rPr>
              <w:t>30</w:t>
            </w:r>
          </w:p>
        </w:tc>
        <w:tc>
          <w:tcPr>
            <w:tcW w:w="2154" w:type="dxa"/>
            <w:tcBorders>
              <w:top w:val="nil"/>
              <w:left w:val="single" w:sz="4" w:space="0" w:color="auto"/>
              <w:bottom w:val="nil"/>
              <w:right w:val="single" w:sz="4" w:space="0" w:color="auto"/>
            </w:tcBorders>
            <w:vAlign w:val="bottom"/>
            <w:hideMark/>
          </w:tcPr>
          <w:p w14:paraId="26EC44DE" w14:textId="0DE604E5" w:rsidR="008C4D90" w:rsidRPr="008C4D90" w:rsidRDefault="008C4D90">
            <w:pPr>
              <w:tabs>
                <w:tab w:val="decimal" w:pos="1079"/>
              </w:tabs>
              <w:rPr>
                <w:rFonts w:ascii="Times New Roman" w:hAnsi="Times New Roman" w:cs="Times New Roman"/>
              </w:rPr>
            </w:pPr>
            <w:r w:rsidRPr="008C4D90">
              <w:rPr>
                <w:rFonts w:ascii="Times New Roman" w:hAnsi="Times New Roman" w:cs="Times New Roman"/>
                <w:color w:val="000000"/>
              </w:rPr>
              <w:t>26</w:t>
            </w:r>
          </w:p>
        </w:tc>
        <w:tc>
          <w:tcPr>
            <w:tcW w:w="2154" w:type="dxa"/>
            <w:tcBorders>
              <w:top w:val="nil"/>
              <w:left w:val="single" w:sz="4" w:space="0" w:color="auto"/>
              <w:bottom w:val="nil"/>
              <w:right w:val="single" w:sz="4" w:space="0" w:color="auto"/>
            </w:tcBorders>
            <w:vAlign w:val="bottom"/>
            <w:hideMark/>
          </w:tcPr>
          <w:p w14:paraId="511AB411" w14:textId="2E823139" w:rsidR="008C4D90" w:rsidRPr="008C4D90" w:rsidRDefault="008C4D90">
            <w:pPr>
              <w:tabs>
                <w:tab w:val="decimal" w:pos="1061"/>
              </w:tabs>
              <w:rPr>
                <w:rFonts w:ascii="Times New Roman" w:hAnsi="Times New Roman" w:cs="Times New Roman"/>
              </w:rPr>
            </w:pPr>
            <w:r w:rsidRPr="008C4D90">
              <w:rPr>
                <w:rFonts w:ascii="Times New Roman" w:hAnsi="Times New Roman" w:cs="Times New Roman"/>
                <w:color w:val="000000"/>
              </w:rPr>
              <w:t>68</w:t>
            </w:r>
          </w:p>
        </w:tc>
      </w:tr>
      <w:tr w:rsidR="008C4D90" w:rsidRPr="00B824AA" w14:paraId="1C90D8F3" w14:textId="77777777" w:rsidTr="0077028B">
        <w:tc>
          <w:tcPr>
            <w:tcW w:w="2551" w:type="dxa"/>
            <w:tcBorders>
              <w:top w:val="nil"/>
              <w:left w:val="single" w:sz="4" w:space="0" w:color="auto"/>
              <w:bottom w:val="nil"/>
              <w:right w:val="single" w:sz="4" w:space="0" w:color="auto"/>
            </w:tcBorders>
            <w:vAlign w:val="center"/>
          </w:tcPr>
          <w:p w14:paraId="20DEA9D9" w14:textId="7BDFA39D" w:rsidR="008C4D90" w:rsidRPr="00B824AA" w:rsidRDefault="008C4D90">
            <w:pPr>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nil"/>
              <w:right w:val="single" w:sz="4" w:space="0" w:color="auto"/>
            </w:tcBorders>
            <w:vAlign w:val="bottom"/>
          </w:tcPr>
          <w:p w14:paraId="1926BBE2" w14:textId="53A7215C" w:rsidR="008C4D90" w:rsidRPr="008C4D90" w:rsidRDefault="008C4D90">
            <w:pPr>
              <w:tabs>
                <w:tab w:val="decimal" w:pos="1013"/>
              </w:tabs>
              <w:rPr>
                <w:rFonts w:ascii="Times New Roman" w:hAnsi="Times New Roman" w:cs="Times New Roman"/>
                <w:color w:val="000000"/>
              </w:rPr>
            </w:pPr>
            <w:r w:rsidRPr="008C4D90">
              <w:rPr>
                <w:rFonts w:ascii="Times New Roman" w:hAnsi="Times New Roman" w:cs="Times New Roman"/>
                <w:color w:val="000000"/>
              </w:rPr>
              <w:t>30</w:t>
            </w:r>
          </w:p>
        </w:tc>
        <w:tc>
          <w:tcPr>
            <w:tcW w:w="2154" w:type="dxa"/>
            <w:tcBorders>
              <w:top w:val="nil"/>
              <w:left w:val="single" w:sz="4" w:space="0" w:color="auto"/>
              <w:bottom w:val="nil"/>
              <w:right w:val="single" w:sz="4" w:space="0" w:color="auto"/>
            </w:tcBorders>
            <w:vAlign w:val="bottom"/>
          </w:tcPr>
          <w:p w14:paraId="7E027C9A" w14:textId="4DB7B577" w:rsidR="008C4D90" w:rsidRPr="008C4D90" w:rsidRDefault="008C4D90">
            <w:pPr>
              <w:tabs>
                <w:tab w:val="decimal" w:pos="1079"/>
              </w:tabs>
              <w:rPr>
                <w:rFonts w:ascii="Times New Roman" w:hAnsi="Times New Roman" w:cs="Times New Roman"/>
                <w:color w:val="000000"/>
              </w:rPr>
            </w:pPr>
            <w:r w:rsidRPr="008C4D90">
              <w:rPr>
                <w:rFonts w:ascii="Times New Roman" w:hAnsi="Times New Roman" w:cs="Times New Roman"/>
                <w:color w:val="000000"/>
              </w:rPr>
              <w:t>26</w:t>
            </w:r>
          </w:p>
        </w:tc>
        <w:tc>
          <w:tcPr>
            <w:tcW w:w="2154" w:type="dxa"/>
            <w:tcBorders>
              <w:top w:val="nil"/>
              <w:left w:val="single" w:sz="4" w:space="0" w:color="auto"/>
              <w:bottom w:val="nil"/>
              <w:right w:val="single" w:sz="4" w:space="0" w:color="auto"/>
            </w:tcBorders>
            <w:vAlign w:val="bottom"/>
          </w:tcPr>
          <w:p w14:paraId="4073264B" w14:textId="1BB9776A" w:rsidR="008C4D90" w:rsidRPr="008C4D90" w:rsidRDefault="008C4D90">
            <w:pPr>
              <w:tabs>
                <w:tab w:val="decimal" w:pos="1061"/>
              </w:tabs>
              <w:rPr>
                <w:rFonts w:ascii="Times New Roman" w:hAnsi="Times New Roman" w:cs="Times New Roman"/>
                <w:color w:val="000000"/>
              </w:rPr>
            </w:pPr>
            <w:r w:rsidRPr="008C4D90">
              <w:rPr>
                <w:rFonts w:ascii="Times New Roman" w:hAnsi="Times New Roman" w:cs="Times New Roman"/>
                <w:color w:val="000000"/>
              </w:rPr>
              <w:t>67</w:t>
            </w:r>
          </w:p>
        </w:tc>
      </w:tr>
      <w:tr w:rsidR="001D1F8A" w:rsidRPr="00B824AA" w14:paraId="005F1A8A" w14:textId="77777777" w:rsidTr="0077028B">
        <w:tc>
          <w:tcPr>
            <w:tcW w:w="2551" w:type="dxa"/>
            <w:tcBorders>
              <w:top w:val="nil"/>
              <w:left w:val="single" w:sz="4" w:space="0" w:color="auto"/>
              <w:bottom w:val="nil"/>
              <w:right w:val="single" w:sz="4" w:space="0" w:color="auto"/>
            </w:tcBorders>
            <w:vAlign w:val="center"/>
          </w:tcPr>
          <w:p w14:paraId="5E2A0992" w14:textId="77777777" w:rsidR="001D1F8A" w:rsidRPr="00B824AA" w:rsidRDefault="001D1F8A">
            <w:pPr>
              <w:rPr>
                <w:rFonts w:ascii="Times New Roman" w:hAnsi="Times New Roman" w:cs="Times New Roman"/>
                <w:color w:val="000000"/>
              </w:rPr>
            </w:pPr>
          </w:p>
        </w:tc>
        <w:tc>
          <w:tcPr>
            <w:tcW w:w="2154" w:type="dxa"/>
            <w:tcBorders>
              <w:top w:val="nil"/>
              <w:left w:val="single" w:sz="4" w:space="0" w:color="auto"/>
              <w:bottom w:val="nil"/>
              <w:right w:val="single" w:sz="4" w:space="0" w:color="auto"/>
            </w:tcBorders>
          </w:tcPr>
          <w:p w14:paraId="0DBE0E7E" w14:textId="77777777" w:rsidR="001D1F8A" w:rsidRPr="00B824AA" w:rsidRDefault="001D1F8A">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4F3EB331" w14:textId="77777777" w:rsidR="001D1F8A" w:rsidRPr="00B824AA" w:rsidRDefault="001D1F8A">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336D3A37" w14:textId="77777777" w:rsidR="001D1F8A" w:rsidRPr="00B824AA" w:rsidRDefault="001D1F8A">
            <w:pPr>
              <w:tabs>
                <w:tab w:val="decimal" w:pos="1061"/>
              </w:tabs>
              <w:rPr>
                <w:rFonts w:ascii="Times New Roman" w:hAnsi="Times New Roman" w:cs="Times New Roman"/>
                <w:b/>
                <w:bCs/>
              </w:rPr>
            </w:pPr>
          </w:p>
        </w:tc>
      </w:tr>
      <w:tr w:rsidR="0077028B" w:rsidRPr="00B824AA" w14:paraId="2682479E" w14:textId="77777777" w:rsidTr="0077028B">
        <w:tc>
          <w:tcPr>
            <w:tcW w:w="2551" w:type="dxa"/>
            <w:tcBorders>
              <w:top w:val="nil"/>
              <w:left w:val="single" w:sz="4" w:space="0" w:color="auto"/>
              <w:bottom w:val="nil"/>
              <w:right w:val="single" w:sz="4" w:space="0" w:color="auto"/>
            </w:tcBorders>
            <w:vAlign w:val="center"/>
            <w:hideMark/>
          </w:tcPr>
          <w:p w14:paraId="69E12A68" w14:textId="41CE6BAC" w:rsidR="0077028B" w:rsidRPr="00B824AA" w:rsidRDefault="0077028B">
            <w:pPr>
              <w:rPr>
                <w:rFonts w:ascii="Times New Roman" w:hAnsi="Times New Roman" w:cs="Times New Roman"/>
                <w:b/>
                <w:bCs/>
              </w:rPr>
            </w:pPr>
            <w:r w:rsidRPr="00B824AA">
              <w:rPr>
                <w:rFonts w:ascii="Times New Roman" w:hAnsi="Times New Roman" w:cs="Times New Roman"/>
                <w:color w:val="000000"/>
              </w:rPr>
              <w:t>stan techniczny mieszkań</w:t>
            </w:r>
          </w:p>
        </w:tc>
        <w:tc>
          <w:tcPr>
            <w:tcW w:w="2154" w:type="dxa"/>
            <w:tcBorders>
              <w:top w:val="nil"/>
              <w:left w:val="single" w:sz="4" w:space="0" w:color="auto"/>
              <w:bottom w:val="nil"/>
              <w:right w:val="single" w:sz="4" w:space="0" w:color="auto"/>
            </w:tcBorders>
          </w:tcPr>
          <w:p w14:paraId="7E24CDB7" w14:textId="77777777" w:rsidR="0077028B" w:rsidRPr="00B824AA" w:rsidRDefault="0077028B">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64F4E1EF" w14:textId="77777777" w:rsidR="0077028B" w:rsidRPr="00B824AA" w:rsidRDefault="0077028B">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218C82CA" w14:textId="77777777" w:rsidR="0077028B" w:rsidRPr="00B824AA" w:rsidRDefault="0077028B">
            <w:pPr>
              <w:tabs>
                <w:tab w:val="decimal" w:pos="1061"/>
              </w:tabs>
              <w:rPr>
                <w:rFonts w:ascii="Times New Roman" w:hAnsi="Times New Roman" w:cs="Times New Roman"/>
                <w:b/>
                <w:bCs/>
              </w:rPr>
            </w:pPr>
          </w:p>
        </w:tc>
      </w:tr>
      <w:tr w:rsidR="007C571C" w:rsidRPr="00B824AA" w14:paraId="41F9D38B" w14:textId="77777777" w:rsidTr="00866620">
        <w:tc>
          <w:tcPr>
            <w:tcW w:w="2551" w:type="dxa"/>
            <w:tcBorders>
              <w:top w:val="nil"/>
              <w:left w:val="single" w:sz="4" w:space="0" w:color="auto"/>
              <w:bottom w:val="nil"/>
              <w:right w:val="single" w:sz="4" w:space="0" w:color="auto"/>
            </w:tcBorders>
            <w:vAlign w:val="center"/>
            <w:hideMark/>
          </w:tcPr>
          <w:p w14:paraId="6F022FC5" w14:textId="77777777" w:rsidR="007C571C" w:rsidRPr="00B824AA" w:rsidRDefault="007C571C">
            <w:pPr>
              <w:rPr>
                <w:rFonts w:ascii="Times New Roman" w:hAnsi="Times New Roman" w:cs="Times New Roman"/>
                <w:b/>
                <w:bCs/>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tcPr>
          <w:p w14:paraId="41EF7B52" w14:textId="3BC55A78" w:rsidR="007C571C" w:rsidRPr="007C571C" w:rsidRDefault="007C571C">
            <w:pPr>
              <w:tabs>
                <w:tab w:val="decimal" w:pos="1013"/>
              </w:tabs>
              <w:rPr>
                <w:rFonts w:ascii="Times New Roman" w:hAnsi="Times New Roman" w:cs="Times New Roman"/>
                <w:b/>
                <w:bCs/>
              </w:rPr>
            </w:pPr>
            <w:r w:rsidRPr="007C571C">
              <w:rPr>
                <w:rFonts w:ascii="Times New Roman" w:hAnsi="Times New Roman" w:cs="Times New Roman"/>
              </w:rPr>
              <w:t>123</w:t>
            </w:r>
          </w:p>
        </w:tc>
        <w:tc>
          <w:tcPr>
            <w:tcW w:w="2154" w:type="dxa"/>
            <w:tcBorders>
              <w:top w:val="nil"/>
              <w:left w:val="single" w:sz="4" w:space="0" w:color="auto"/>
              <w:bottom w:val="nil"/>
              <w:right w:val="single" w:sz="4" w:space="0" w:color="auto"/>
            </w:tcBorders>
          </w:tcPr>
          <w:p w14:paraId="1B5AE237" w14:textId="1D2C85C9" w:rsidR="007C571C" w:rsidRPr="007C571C" w:rsidRDefault="007C571C">
            <w:pPr>
              <w:tabs>
                <w:tab w:val="decimal" w:pos="1079"/>
              </w:tabs>
              <w:rPr>
                <w:rFonts w:ascii="Times New Roman" w:hAnsi="Times New Roman" w:cs="Times New Roman"/>
                <w:b/>
                <w:bCs/>
              </w:rPr>
            </w:pPr>
            <w:r w:rsidRPr="007C571C">
              <w:rPr>
                <w:rFonts w:ascii="Times New Roman" w:hAnsi="Times New Roman" w:cs="Times New Roman"/>
              </w:rPr>
              <w:t>123</w:t>
            </w:r>
          </w:p>
        </w:tc>
        <w:tc>
          <w:tcPr>
            <w:tcW w:w="2154" w:type="dxa"/>
            <w:tcBorders>
              <w:top w:val="nil"/>
              <w:left w:val="single" w:sz="4" w:space="0" w:color="auto"/>
              <w:bottom w:val="nil"/>
              <w:right w:val="single" w:sz="4" w:space="0" w:color="auto"/>
            </w:tcBorders>
          </w:tcPr>
          <w:p w14:paraId="08A52144" w14:textId="501541D7" w:rsidR="007C571C" w:rsidRPr="007C571C" w:rsidRDefault="007C571C">
            <w:pPr>
              <w:tabs>
                <w:tab w:val="decimal" w:pos="1061"/>
              </w:tabs>
              <w:rPr>
                <w:rFonts w:ascii="Times New Roman" w:hAnsi="Times New Roman" w:cs="Times New Roman"/>
                <w:b/>
                <w:bCs/>
              </w:rPr>
            </w:pPr>
            <w:r w:rsidRPr="007C571C">
              <w:rPr>
                <w:rFonts w:ascii="Times New Roman" w:hAnsi="Times New Roman" w:cs="Times New Roman"/>
              </w:rPr>
              <w:t>120</w:t>
            </w:r>
          </w:p>
        </w:tc>
      </w:tr>
      <w:tr w:rsidR="007C571C" w:rsidRPr="00B824AA" w14:paraId="359FA39F" w14:textId="77777777" w:rsidTr="00866620">
        <w:tc>
          <w:tcPr>
            <w:tcW w:w="2551" w:type="dxa"/>
            <w:tcBorders>
              <w:top w:val="nil"/>
              <w:left w:val="single" w:sz="4" w:space="0" w:color="auto"/>
              <w:bottom w:val="nil"/>
              <w:right w:val="single" w:sz="4" w:space="0" w:color="auto"/>
            </w:tcBorders>
            <w:vAlign w:val="center"/>
            <w:hideMark/>
          </w:tcPr>
          <w:p w14:paraId="28354AEC" w14:textId="77777777" w:rsidR="007C571C" w:rsidRPr="00B824AA" w:rsidRDefault="007C571C">
            <w:pPr>
              <w:rPr>
                <w:rFonts w:ascii="Times New Roman" w:hAnsi="Times New Roman" w:cs="Times New Roman"/>
                <w:b/>
                <w:bCs/>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tcPr>
          <w:p w14:paraId="1F8807E5" w14:textId="5A8BBC6E" w:rsidR="007C571C" w:rsidRPr="007C571C" w:rsidRDefault="007C571C">
            <w:pPr>
              <w:tabs>
                <w:tab w:val="decimal" w:pos="1013"/>
              </w:tabs>
              <w:rPr>
                <w:rFonts w:ascii="Times New Roman" w:hAnsi="Times New Roman" w:cs="Times New Roman"/>
                <w:b/>
                <w:bCs/>
              </w:rPr>
            </w:pPr>
            <w:r w:rsidRPr="007C571C">
              <w:rPr>
                <w:rFonts w:ascii="Times New Roman" w:hAnsi="Times New Roman" w:cs="Times New Roman"/>
              </w:rPr>
              <w:t>114</w:t>
            </w:r>
          </w:p>
        </w:tc>
        <w:tc>
          <w:tcPr>
            <w:tcW w:w="2154" w:type="dxa"/>
            <w:tcBorders>
              <w:top w:val="nil"/>
              <w:left w:val="single" w:sz="4" w:space="0" w:color="auto"/>
              <w:bottom w:val="nil"/>
              <w:right w:val="single" w:sz="4" w:space="0" w:color="auto"/>
            </w:tcBorders>
          </w:tcPr>
          <w:p w14:paraId="40A38C98" w14:textId="3DC8B44F" w:rsidR="007C571C" w:rsidRPr="007C571C" w:rsidRDefault="007C571C">
            <w:pPr>
              <w:tabs>
                <w:tab w:val="decimal" w:pos="1079"/>
              </w:tabs>
              <w:rPr>
                <w:rFonts w:ascii="Times New Roman" w:hAnsi="Times New Roman" w:cs="Times New Roman"/>
                <w:b/>
                <w:bCs/>
              </w:rPr>
            </w:pPr>
            <w:r w:rsidRPr="007C571C">
              <w:rPr>
                <w:rFonts w:ascii="Times New Roman" w:hAnsi="Times New Roman" w:cs="Times New Roman"/>
              </w:rPr>
              <w:t>119</w:t>
            </w:r>
          </w:p>
        </w:tc>
        <w:tc>
          <w:tcPr>
            <w:tcW w:w="2154" w:type="dxa"/>
            <w:tcBorders>
              <w:top w:val="nil"/>
              <w:left w:val="single" w:sz="4" w:space="0" w:color="auto"/>
              <w:bottom w:val="nil"/>
              <w:right w:val="single" w:sz="4" w:space="0" w:color="auto"/>
            </w:tcBorders>
          </w:tcPr>
          <w:p w14:paraId="5D558A18" w14:textId="57BA0733" w:rsidR="007C571C" w:rsidRPr="007C571C" w:rsidRDefault="007C571C">
            <w:pPr>
              <w:tabs>
                <w:tab w:val="decimal" w:pos="1061"/>
              </w:tabs>
              <w:rPr>
                <w:rFonts w:ascii="Times New Roman" w:hAnsi="Times New Roman" w:cs="Times New Roman"/>
                <w:b/>
                <w:bCs/>
              </w:rPr>
            </w:pPr>
            <w:r w:rsidRPr="007C571C">
              <w:rPr>
                <w:rFonts w:ascii="Times New Roman" w:hAnsi="Times New Roman" w:cs="Times New Roman"/>
              </w:rPr>
              <w:t>102</w:t>
            </w:r>
          </w:p>
        </w:tc>
      </w:tr>
      <w:tr w:rsidR="007C571C" w:rsidRPr="00B824AA" w14:paraId="53B0E975" w14:textId="77777777" w:rsidTr="00866620">
        <w:tc>
          <w:tcPr>
            <w:tcW w:w="2551" w:type="dxa"/>
            <w:tcBorders>
              <w:top w:val="nil"/>
              <w:left w:val="single" w:sz="4" w:space="0" w:color="auto"/>
              <w:bottom w:val="nil"/>
              <w:right w:val="single" w:sz="4" w:space="0" w:color="auto"/>
            </w:tcBorders>
            <w:vAlign w:val="center"/>
            <w:hideMark/>
          </w:tcPr>
          <w:p w14:paraId="4854C9A0" w14:textId="77777777" w:rsidR="007C571C" w:rsidRPr="00B824AA" w:rsidRDefault="007C571C">
            <w:pPr>
              <w:rPr>
                <w:rFonts w:ascii="Times New Roman" w:hAnsi="Times New Roman" w:cs="Times New Roman"/>
                <w:b/>
                <w:bCs/>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tcPr>
          <w:p w14:paraId="77C7E82C" w14:textId="16B31AD4" w:rsidR="007C571C" w:rsidRPr="007C571C" w:rsidRDefault="007C571C">
            <w:pPr>
              <w:tabs>
                <w:tab w:val="decimal" w:pos="1013"/>
              </w:tabs>
              <w:rPr>
                <w:rFonts w:ascii="Times New Roman" w:hAnsi="Times New Roman" w:cs="Times New Roman"/>
                <w:b/>
                <w:bCs/>
              </w:rPr>
            </w:pPr>
            <w:r w:rsidRPr="007C571C">
              <w:rPr>
                <w:rFonts w:ascii="Times New Roman" w:hAnsi="Times New Roman" w:cs="Times New Roman"/>
              </w:rPr>
              <w:t>202</w:t>
            </w:r>
          </w:p>
        </w:tc>
        <w:tc>
          <w:tcPr>
            <w:tcW w:w="2154" w:type="dxa"/>
            <w:tcBorders>
              <w:top w:val="nil"/>
              <w:left w:val="single" w:sz="4" w:space="0" w:color="auto"/>
              <w:bottom w:val="nil"/>
              <w:right w:val="single" w:sz="4" w:space="0" w:color="auto"/>
            </w:tcBorders>
          </w:tcPr>
          <w:p w14:paraId="4B22D326" w14:textId="7018EEAF" w:rsidR="007C571C" w:rsidRPr="007C571C" w:rsidRDefault="007C571C">
            <w:pPr>
              <w:tabs>
                <w:tab w:val="decimal" w:pos="1079"/>
              </w:tabs>
              <w:rPr>
                <w:rFonts w:ascii="Times New Roman" w:hAnsi="Times New Roman" w:cs="Times New Roman"/>
                <w:b/>
                <w:bCs/>
              </w:rPr>
            </w:pPr>
            <w:r w:rsidRPr="007C571C">
              <w:rPr>
                <w:rFonts w:ascii="Times New Roman" w:hAnsi="Times New Roman" w:cs="Times New Roman"/>
              </w:rPr>
              <w:t>242</w:t>
            </w:r>
          </w:p>
        </w:tc>
        <w:tc>
          <w:tcPr>
            <w:tcW w:w="2154" w:type="dxa"/>
            <w:tcBorders>
              <w:top w:val="nil"/>
              <w:left w:val="single" w:sz="4" w:space="0" w:color="auto"/>
              <w:bottom w:val="nil"/>
              <w:right w:val="single" w:sz="4" w:space="0" w:color="auto"/>
            </w:tcBorders>
          </w:tcPr>
          <w:p w14:paraId="120B39B1" w14:textId="0789AE35" w:rsidR="007C571C" w:rsidRPr="007C571C" w:rsidRDefault="007C571C">
            <w:pPr>
              <w:tabs>
                <w:tab w:val="decimal" w:pos="1061"/>
              </w:tabs>
              <w:rPr>
                <w:rFonts w:ascii="Times New Roman" w:hAnsi="Times New Roman" w:cs="Times New Roman"/>
                <w:b/>
                <w:bCs/>
              </w:rPr>
            </w:pPr>
            <w:r w:rsidRPr="007C571C">
              <w:rPr>
                <w:rFonts w:ascii="Times New Roman" w:hAnsi="Times New Roman" w:cs="Times New Roman"/>
              </w:rPr>
              <w:t>131</w:t>
            </w:r>
          </w:p>
        </w:tc>
      </w:tr>
      <w:tr w:rsidR="007C571C" w:rsidRPr="00B824AA" w14:paraId="59268B2C" w14:textId="77777777" w:rsidTr="00866620">
        <w:tc>
          <w:tcPr>
            <w:tcW w:w="2551" w:type="dxa"/>
            <w:tcBorders>
              <w:top w:val="nil"/>
              <w:left w:val="single" w:sz="4" w:space="0" w:color="auto"/>
              <w:bottom w:val="nil"/>
              <w:right w:val="single" w:sz="4" w:space="0" w:color="auto"/>
            </w:tcBorders>
            <w:vAlign w:val="center"/>
          </w:tcPr>
          <w:p w14:paraId="5CB3FE93" w14:textId="09997FBE" w:rsidR="007C571C" w:rsidRPr="00B824AA" w:rsidRDefault="007C571C">
            <w:pPr>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tcPr>
          <w:p w14:paraId="003A2C0A" w14:textId="47ECD9AE" w:rsidR="007C571C" w:rsidRPr="007C571C" w:rsidRDefault="007C571C">
            <w:pPr>
              <w:tabs>
                <w:tab w:val="decimal" w:pos="1013"/>
              </w:tabs>
              <w:rPr>
                <w:rFonts w:ascii="Times New Roman" w:hAnsi="Times New Roman" w:cs="Times New Roman"/>
                <w:color w:val="000000"/>
              </w:rPr>
            </w:pPr>
            <w:r w:rsidRPr="007C571C">
              <w:rPr>
                <w:rFonts w:ascii="Times New Roman" w:hAnsi="Times New Roman" w:cs="Times New Roman"/>
              </w:rPr>
              <w:t>202</w:t>
            </w:r>
          </w:p>
        </w:tc>
        <w:tc>
          <w:tcPr>
            <w:tcW w:w="2154" w:type="dxa"/>
            <w:tcBorders>
              <w:top w:val="nil"/>
              <w:left w:val="single" w:sz="4" w:space="0" w:color="auto"/>
              <w:bottom w:val="nil"/>
              <w:right w:val="single" w:sz="4" w:space="0" w:color="auto"/>
            </w:tcBorders>
          </w:tcPr>
          <w:p w14:paraId="52B83EEB" w14:textId="6467CB6A" w:rsidR="007C571C" w:rsidRPr="007C571C" w:rsidRDefault="007C571C">
            <w:pPr>
              <w:tabs>
                <w:tab w:val="decimal" w:pos="1079"/>
              </w:tabs>
              <w:rPr>
                <w:rFonts w:ascii="Times New Roman" w:hAnsi="Times New Roman" w:cs="Times New Roman"/>
                <w:color w:val="000000"/>
              </w:rPr>
            </w:pPr>
            <w:r w:rsidRPr="007C571C">
              <w:rPr>
                <w:rFonts w:ascii="Times New Roman" w:hAnsi="Times New Roman" w:cs="Times New Roman"/>
              </w:rPr>
              <w:t>242</w:t>
            </w:r>
          </w:p>
        </w:tc>
        <w:tc>
          <w:tcPr>
            <w:tcW w:w="2154" w:type="dxa"/>
            <w:tcBorders>
              <w:top w:val="nil"/>
              <w:left w:val="single" w:sz="4" w:space="0" w:color="auto"/>
              <w:bottom w:val="nil"/>
              <w:right w:val="single" w:sz="4" w:space="0" w:color="auto"/>
            </w:tcBorders>
          </w:tcPr>
          <w:p w14:paraId="01529B90" w14:textId="7CF38E3A" w:rsidR="007C571C" w:rsidRPr="007C571C" w:rsidRDefault="007C571C">
            <w:pPr>
              <w:tabs>
                <w:tab w:val="decimal" w:pos="1061"/>
              </w:tabs>
              <w:rPr>
                <w:rFonts w:ascii="Times New Roman" w:hAnsi="Times New Roman" w:cs="Times New Roman"/>
                <w:color w:val="000000"/>
              </w:rPr>
            </w:pPr>
            <w:r w:rsidRPr="007C571C">
              <w:rPr>
                <w:rFonts w:ascii="Times New Roman" w:hAnsi="Times New Roman" w:cs="Times New Roman"/>
              </w:rPr>
              <w:t>131</w:t>
            </w:r>
          </w:p>
        </w:tc>
      </w:tr>
      <w:tr w:rsidR="007C571C" w:rsidRPr="00B824AA" w14:paraId="068724C0" w14:textId="77777777" w:rsidTr="00866620">
        <w:tc>
          <w:tcPr>
            <w:tcW w:w="2551" w:type="dxa"/>
            <w:tcBorders>
              <w:top w:val="nil"/>
              <w:left w:val="single" w:sz="4" w:space="0" w:color="auto"/>
              <w:bottom w:val="nil"/>
              <w:right w:val="single" w:sz="4" w:space="0" w:color="auto"/>
            </w:tcBorders>
            <w:vAlign w:val="center"/>
          </w:tcPr>
          <w:p w14:paraId="26CF5E01" w14:textId="60C65305" w:rsidR="007C571C" w:rsidRPr="00B824AA" w:rsidRDefault="007C571C">
            <w:pPr>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nil"/>
              <w:right w:val="single" w:sz="4" w:space="0" w:color="auto"/>
            </w:tcBorders>
          </w:tcPr>
          <w:p w14:paraId="7C560DB3" w14:textId="26A4366A" w:rsidR="007C571C" w:rsidRPr="007C571C" w:rsidRDefault="007C571C">
            <w:pPr>
              <w:tabs>
                <w:tab w:val="decimal" w:pos="1013"/>
              </w:tabs>
              <w:rPr>
                <w:rFonts w:ascii="Times New Roman" w:hAnsi="Times New Roman" w:cs="Times New Roman"/>
                <w:color w:val="000000"/>
              </w:rPr>
            </w:pPr>
            <w:r w:rsidRPr="007C571C">
              <w:rPr>
                <w:rFonts w:ascii="Times New Roman" w:hAnsi="Times New Roman" w:cs="Times New Roman"/>
              </w:rPr>
              <w:t>216</w:t>
            </w:r>
          </w:p>
        </w:tc>
        <w:tc>
          <w:tcPr>
            <w:tcW w:w="2154" w:type="dxa"/>
            <w:tcBorders>
              <w:top w:val="nil"/>
              <w:left w:val="single" w:sz="4" w:space="0" w:color="auto"/>
              <w:bottom w:val="nil"/>
              <w:right w:val="single" w:sz="4" w:space="0" w:color="auto"/>
            </w:tcBorders>
          </w:tcPr>
          <w:p w14:paraId="0C588BDC" w14:textId="04C85734" w:rsidR="007C571C" w:rsidRPr="007C571C" w:rsidRDefault="007C571C">
            <w:pPr>
              <w:tabs>
                <w:tab w:val="decimal" w:pos="1079"/>
              </w:tabs>
              <w:rPr>
                <w:rFonts w:ascii="Times New Roman" w:hAnsi="Times New Roman" w:cs="Times New Roman"/>
                <w:color w:val="000000"/>
              </w:rPr>
            </w:pPr>
            <w:r w:rsidRPr="007C571C">
              <w:rPr>
                <w:rFonts w:ascii="Times New Roman" w:hAnsi="Times New Roman" w:cs="Times New Roman"/>
              </w:rPr>
              <w:t>276</w:t>
            </w:r>
          </w:p>
        </w:tc>
        <w:tc>
          <w:tcPr>
            <w:tcW w:w="2154" w:type="dxa"/>
            <w:tcBorders>
              <w:top w:val="nil"/>
              <w:left w:val="single" w:sz="4" w:space="0" w:color="auto"/>
              <w:bottom w:val="nil"/>
              <w:right w:val="single" w:sz="4" w:space="0" w:color="auto"/>
            </w:tcBorders>
          </w:tcPr>
          <w:p w14:paraId="3BFA25C1" w14:textId="14C61F70" w:rsidR="007C571C" w:rsidRPr="007C571C" w:rsidRDefault="007C571C">
            <w:pPr>
              <w:tabs>
                <w:tab w:val="decimal" w:pos="1061"/>
              </w:tabs>
              <w:rPr>
                <w:rFonts w:ascii="Times New Roman" w:hAnsi="Times New Roman" w:cs="Times New Roman"/>
                <w:color w:val="000000"/>
              </w:rPr>
            </w:pPr>
            <w:r w:rsidRPr="007C571C">
              <w:rPr>
                <w:rFonts w:ascii="Times New Roman" w:hAnsi="Times New Roman" w:cs="Times New Roman"/>
              </w:rPr>
              <w:t>125</w:t>
            </w:r>
          </w:p>
        </w:tc>
      </w:tr>
      <w:tr w:rsidR="001D1F8A" w:rsidRPr="00B824AA" w14:paraId="05599CF7" w14:textId="77777777" w:rsidTr="0077028B">
        <w:tc>
          <w:tcPr>
            <w:tcW w:w="2551" w:type="dxa"/>
            <w:tcBorders>
              <w:top w:val="nil"/>
              <w:left w:val="single" w:sz="4" w:space="0" w:color="auto"/>
              <w:bottom w:val="nil"/>
              <w:right w:val="single" w:sz="4" w:space="0" w:color="auto"/>
            </w:tcBorders>
            <w:vAlign w:val="center"/>
          </w:tcPr>
          <w:p w14:paraId="5A39FE83" w14:textId="77777777" w:rsidR="001D1F8A" w:rsidRPr="00B824AA" w:rsidRDefault="001D1F8A">
            <w:pPr>
              <w:rPr>
                <w:rFonts w:ascii="Times New Roman" w:hAnsi="Times New Roman" w:cs="Times New Roman"/>
                <w:color w:val="000000"/>
              </w:rPr>
            </w:pPr>
          </w:p>
        </w:tc>
        <w:tc>
          <w:tcPr>
            <w:tcW w:w="2154" w:type="dxa"/>
            <w:tcBorders>
              <w:top w:val="nil"/>
              <w:left w:val="single" w:sz="4" w:space="0" w:color="auto"/>
              <w:bottom w:val="nil"/>
              <w:right w:val="single" w:sz="4" w:space="0" w:color="auto"/>
            </w:tcBorders>
          </w:tcPr>
          <w:p w14:paraId="7DE5C52C" w14:textId="77777777" w:rsidR="001D1F8A" w:rsidRPr="00B824AA" w:rsidRDefault="001D1F8A">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72CA242A" w14:textId="77777777" w:rsidR="001D1F8A" w:rsidRPr="00B824AA" w:rsidRDefault="001D1F8A">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4FDA50C6" w14:textId="77777777" w:rsidR="001D1F8A" w:rsidRPr="00B824AA" w:rsidRDefault="001D1F8A">
            <w:pPr>
              <w:tabs>
                <w:tab w:val="decimal" w:pos="1061"/>
              </w:tabs>
              <w:rPr>
                <w:rFonts w:ascii="Times New Roman" w:hAnsi="Times New Roman" w:cs="Times New Roman"/>
                <w:b/>
                <w:bCs/>
              </w:rPr>
            </w:pPr>
          </w:p>
        </w:tc>
      </w:tr>
      <w:tr w:rsidR="0077028B" w:rsidRPr="00B824AA" w14:paraId="056898E2" w14:textId="77777777" w:rsidTr="0077028B">
        <w:tc>
          <w:tcPr>
            <w:tcW w:w="2551" w:type="dxa"/>
            <w:tcBorders>
              <w:top w:val="nil"/>
              <w:left w:val="single" w:sz="4" w:space="0" w:color="auto"/>
              <w:bottom w:val="nil"/>
              <w:right w:val="single" w:sz="4" w:space="0" w:color="auto"/>
            </w:tcBorders>
            <w:vAlign w:val="center"/>
            <w:hideMark/>
          </w:tcPr>
          <w:p w14:paraId="44F90326" w14:textId="197F3E7D" w:rsidR="0077028B" w:rsidRPr="00B824AA" w:rsidRDefault="0077028B">
            <w:pPr>
              <w:rPr>
                <w:rFonts w:ascii="Times New Roman" w:hAnsi="Times New Roman" w:cs="Times New Roman"/>
                <w:b/>
                <w:bCs/>
              </w:rPr>
            </w:pPr>
            <w:r w:rsidRPr="00B824AA">
              <w:rPr>
                <w:rFonts w:ascii="Times New Roman" w:hAnsi="Times New Roman" w:cs="Times New Roman"/>
                <w:color w:val="000000"/>
              </w:rPr>
              <w:t xml:space="preserve">wyposażenie mieszkań w instalacje </w:t>
            </w:r>
          </w:p>
        </w:tc>
        <w:tc>
          <w:tcPr>
            <w:tcW w:w="2154" w:type="dxa"/>
            <w:tcBorders>
              <w:top w:val="nil"/>
              <w:left w:val="single" w:sz="4" w:space="0" w:color="auto"/>
              <w:bottom w:val="nil"/>
              <w:right w:val="single" w:sz="4" w:space="0" w:color="auto"/>
            </w:tcBorders>
          </w:tcPr>
          <w:p w14:paraId="1FFA93E3" w14:textId="77777777" w:rsidR="0077028B" w:rsidRPr="00B824AA" w:rsidRDefault="0077028B">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6B081F17" w14:textId="77777777" w:rsidR="0077028B" w:rsidRPr="00B824AA" w:rsidRDefault="0077028B">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319D94F7" w14:textId="77777777" w:rsidR="0077028B" w:rsidRPr="00B824AA" w:rsidRDefault="0077028B">
            <w:pPr>
              <w:tabs>
                <w:tab w:val="decimal" w:pos="1061"/>
              </w:tabs>
              <w:rPr>
                <w:rFonts w:ascii="Times New Roman" w:hAnsi="Times New Roman" w:cs="Times New Roman"/>
                <w:b/>
                <w:bCs/>
              </w:rPr>
            </w:pPr>
          </w:p>
        </w:tc>
      </w:tr>
      <w:tr w:rsidR="00A60342" w:rsidRPr="00B824AA" w14:paraId="4AC67005" w14:textId="77777777" w:rsidTr="00866620">
        <w:tc>
          <w:tcPr>
            <w:tcW w:w="2551" w:type="dxa"/>
            <w:tcBorders>
              <w:top w:val="nil"/>
              <w:left w:val="single" w:sz="4" w:space="0" w:color="auto"/>
              <w:bottom w:val="nil"/>
              <w:right w:val="single" w:sz="4" w:space="0" w:color="auto"/>
            </w:tcBorders>
            <w:vAlign w:val="center"/>
            <w:hideMark/>
          </w:tcPr>
          <w:p w14:paraId="18BDBEB7" w14:textId="77777777" w:rsidR="00A60342" w:rsidRPr="00B824AA" w:rsidRDefault="00A60342">
            <w:pPr>
              <w:rPr>
                <w:rFonts w:ascii="Times New Roman" w:hAnsi="Times New Roman" w:cs="Times New Roman"/>
                <w:b/>
                <w:bCs/>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tcPr>
          <w:p w14:paraId="424A3731" w14:textId="60105A2B" w:rsidR="00A60342" w:rsidRPr="00A60342" w:rsidRDefault="00A60342">
            <w:pPr>
              <w:tabs>
                <w:tab w:val="decimal" w:pos="1013"/>
              </w:tabs>
              <w:rPr>
                <w:rFonts w:ascii="Times New Roman" w:hAnsi="Times New Roman" w:cs="Times New Roman"/>
                <w:b/>
                <w:bCs/>
              </w:rPr>
            </w:pPr>
            <w:r w:rsidRPr="00A60342">
              <w:rPr>
                <w:rFonts w:ascii="Times New Roman" w:hAnsi="Times New Roman" w:cs="Times New Roman"/>
              </w:rPr>
              <w:t>99</w:t>
            </w:r>
          </w:p>
        </w:tc>
        <w:tc>
          <w:tcPr>
            <w:tcW w:w="2154" w:type="dxa"/>
            <w:tcBorders>
              <w:top w:val="nil"/>
              <w:left w:val="single" w:sz="4" w:space="0" w:color="auto"/>
              <w:bottom w:val="nil"/>
              <w:right w:val="single" w:sz="4" w:space="0" w:color="auto"/>
            </w:tcBorders>
          </w:tcPr>
          <w:p w14:paraId="34341BEF" w14:textId="6E601C8E" w:rsidR="00A60342" w:rsidRPr="00A60342" w:rsidRDefault="00A60342">
            <w:pPr>
              <w:tabs>
                <w:tab w:val="decimal" w:pos="1079"/>
              </w:tabs>
              <w:rPr>
                <w:rFonts w:ascii="Times New Roman" w:hAnsi="Times New Roman" w:cs="Times New Roman"/>
                <w:b/>
                <w:bCs/>
              </w:rPr>
            </w:pPr>
            <w:r w:rsidRPr="00A60342">
              <w:rPr>
                <w:rFonts w:ascii="Times New Roman" w:hAnsi="Times New Roman" w:cs="Times New Roman"/>
              </w:rPr>
              <w:t>96</w:t>
            </w:r>
          </w:p>
        </w:tc>
        <w:tc>
          <w:tcPr>
            <w:tcW w:w="2154" w:type="dxa"/>
            <w:tcBorders>
              <w:top w:val="nil"/>
              <w:left w:val="single" w:sz="4" w:space="0" w:color="auto"/>
              <w:bottom w:val="nil"/>
              <w:right w:val="single" w:sz="4" w:space="0" w:color="auto"/>
            </w:tcBorders>
          </w:tcPr>
          <w:p w14:paraId="4E205E17" w14:textId="783453DE" w:rsidR="00A60342" w:rsidRPr="00A60342" w:rsidRDefault="00A60342">
            <w:pPr>
              <w:tabs>
                <w:tab w:val="decimal" w:pos="1061"/>
              </w:tabs>
              <w:rPr>
                <w:rFonts w:ascii="Times New Roman" w:hAnsi="Times New Roman" w:cs="Times New Roman"/>
                <w:b/>
                <w:bCs/>
              </w:rPr>
            </w:pPr>
            <w:r w:rsidRPr="00A60342">
              <w:rPr>
                <w:rFonts w:ascii="Times New Roman" w:hAnsi="Times New Roman" w:cs="Times New Roman"/>
              </w:rPr>
              <w:t>108</w:t>
            </w:r>
          </w:p>
        </w:tc>
      </w:tr>
      <w:tr w:rsidR="00A60342" w:rsidRPr="00B824AA" w14:paraId="6F56D127" w14:textId="77777777" w:rsidTr="00866620">
        <w:tc>
          <w:tcPr>
            <w:tcW w:w="2551" w:type="dxa"/>
            <w:tcBorders>
              <w:top w:val="nil"/>
              <w:left w:val="single" w:sz="4" w:space="0" w:color="auto"/>
              <w:bottom w:val="nil"/>
              <w:right w:val="single" w:sz="4" w:space="0" w:color="auto"/>
            </w:tcBorders>
            <w:vAlign w:val="center"/>
            <w:hideMark/>
          </w:tcPr>
          <w:p w14:paraId="39C45D96" w14:textId="77777777" w:rsidR="00A60342" w:rsidRPr="00B824AA" w:rsidRDefault="00A60342">
            <w:pPr>
              <w:rPr>
                <w:rFonts w:ascii="Times New Roman" w:hAnsi="Times New Roman" w:cs="Times New Roman"/>
                <w:b/>
                <w:bCs/>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tcPr>
          <w:p w14:paraId="3D47214E" w14:textId="0A82553A" w:rsidR="00A60342" w:rsidRPr="00A60342" w:rsidRDefault="00A60342">
            <w:pPr>
              <w:tabs>
                <w:tab w:val="decimal" w:pos="1013"/>
              </w:tabs>
              <w:rPr>
                <w:rFonts w:ascii="Times New Roman" w:hAnsi="Times New Roman" w:cs="Times New Roman"/>
                <w:b/>
                <w:bCs/>
              </w:rPr>
            </w:pPr>
            <w:r w:rsidRPr="00A60342">
              <w:rPr>
                <w:rFonts w:ascii="Times New Roman" w:hAnsi="Times New Roman" w:cs="Times New Roman"/>
              </w:rPr>
              <w:t>100</w:t>
            </w:r>
          </w:p>
        </w:tc>
        <w:tc>
          <w:tcPr>
            <w:tcW w:w="2154" w:type="dxa"/>
            <w:tcBorders>
              <w:top w:val="nil"/>
              <w:left w:val="single" w:sz="4" w:space="0" w:color="auto"/>
              <w:bottom w:val="nil"/>
              <w:right w:val="single" w:sz="4" w:space="0" w:color="auto"/>
            </w:tcBorders>
          </w:tcPr>
          <w:p w14:paraId="6CD570B2" w14:textId="450C4300" w:rsidR="00A60342" w:rsidRPr="00A60342" w:rsidRDefault="00A60342">
            <w:pPr>
              <w:tabs>
                <w:tab w:val="decimal" w:pos="1079"/>
              </w:tabs>
              <w:rPr>
                <w:rFonts w:ascii="Times New Roman" w:hAnsi="Times New Roman" w:cs="Times New Roman"/>
                <w:b/>
                <w:bCs/>
              </w:rPr>
            </w:pPr>
            <w:r w:rsidRPr="00A60342">
              <w:rPr>
                <w:rFonts w:ascii="Times New Roman" w:hAnsi="Times New Roman" w:cs="Times New Roman"/>
              </w:rPr>
              <w:t>98</w:t>
            </w:r>
          </w:p>
        </w:tc>
        <w:tc>
          <w:tcPr>
            <w:tcW w:w="2154" w:type="dxa"/>
            <w:tcBorders>
              <w:top w:val="nil"/>
              <w:left w:val="single" w:sz="4" w:space="0" w:color="auto"/>
              <w:bottom w:val="nil"/>
              <w:right w:val="single" w:sz="4" w:space="0" w:color="auto"/>
            </w:tcBorders>
          </w:tcPr>
          <w:p w14:paraId="535141D1" w14:textId="027321EF" w:rsidR="00A60342" w:rsidRPr="00A60342" w:rsidRDefault="00A60342">
            <w:pPr>
              <w:tabs>
                <w:tab w:val="decimal" w:pos="1061"/>
              </w:tabs>
              <w:rPr>
                <w:rFonts w:ascii="Times New Roman" w:hAnsi="Times New Roman" w:cs="Times New Roman"/>
                <w:b/>
                <w:bCs/>
              </w:rPr>
            </w:pPr>
            <w:r w:rsidRPr="00A60342">
              <w:rPr>
                <w:rFonts w:ascii="Times New Roman" w:hAnsi="Times New Roman" w:cs="Times New Roman"/>
              </w:rPr>
              <w:t>106</w:t>
            </w:r>
          </w:p>
        </w:tc>
      </w:tr>
      <w:tr w:rsidR="00A60342" w:rsidRPr="00B824AA" w14:paraId="06F81247" w14:textId="77777777" w:rsidTr="00866620">
        <w:tc>
          <w:tcPr>
            <w:tcW w:w="2551" w:type="dxa"/>
            <w:tcBorders>
              <w:top w:val="nil"/>
              <w:left w:val="single" w:sz="4" w:space="0" w:color="auto"/>
              <w:bottom w:val="nil"/>
              <w:right w:val="single" w:sz="4" w:space="0" w:color="auto"/>
            </w:tcBorders>
            <w:vAlign w:val="center"/>
            <w:hideMark/>
          </w:tcPr>
          <w:p w14:paraId="70A2CA63" w14:textId="77777777" w:rsidR="00A60342" w:rsidRPr="00B824AA" w:rsidRDefault="00A60342">
            <w:pPr>
              <w:rPr>
                <w:rFonts w:ascii="Times New Roman" w:hAnsi="Times New Roman" w:cs="Times New Roman"/>
                <w:b/>
                <w:bCs/>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tcPr>
          <w:p w14:paraId="303B36AB" w14:textId="15E97384" w:rsidR="00A60342" w:rsidRPr="00A60342" w:rsidRDefault="00A60342">
            <w:pPr>
              <w:tabs>
                <w:tab w:val="decimal" w:pos="1013"/>
              </w:tabs>
              <w:rPr>
                <w:rFonts w:ascii="Times New Roman" w:hAnsi="Times New Roman" w:cs="Times New Roman"/>
                <w:b/>
                <w:bCs/>
              </w:rPr>
            </w:pPr>
            <w:r w:rsidRPr="00A60342">
              <w:rPr>
                <w:rFonts w:ascii="Times New Roman" w:hAnsi="Times New Roman" w:cs="Times New Roman"/>
              </w:rPr>
              <w:t>100</w:t>
            </w:r>
          </w:p>
        </w:tc>
        <w:tc>
          <w:tcPr>
            <w:tcW w:w="2154" w:type="dxa"/>
            <w:tcBorders>
              <w:top w:val="nil"/>
              <w:left w:val="single" w:sz="4" w:space="0" w:color="auto"/>
              <w:bottom w:val="nil"/>
              <w:right w:val="single" w:sz="4" w:space="0" w:color="auto"/>
            </w:tcBorders>
          </w:tcPr>
          <w:p w14:paraId="6AAD1DF4" w14:textId="38015072" w:rsidR="00A60342" w:rsidRPr="00A60342" w:rsidRDefault="00A60342">
            <w:pPr>
              <w:tabs>
                <w:tab w:val="decimal" w:pos="1079"/>
              </w:tabs>
              <w:rPr>
                <w:rFonts w:ascii="Times New Roman" w:hAnsi="Times New Roman" w:cs="Times New Roman"/>
                <w:b/>
                <w:bCs/>
              </w:rPr>
            </w:pPr>
            <w:r w:rsidRPr="00A60342">
              <w:rPr>
                <w:rFonts w:ascii="Times New Roman" w:hAnsi="Times New Roman" w:cs="Times New Roman"/>
              </w:rPr>
              <w:t>99</w:t>
            </w:r>
          </w:p>
        </w:tc>
        <w:tc>
          <w:tcPr>
            <w:tcW w:w="2154" w:type="dxa"/>
            <w:tcBorders>
              <w:top w:val="nil"/>
              <w:left w:val="single" w:sz="4" w:space="0" w:color="auto"/>
              <w:bottom w:val="nil"/>
              <w:right w:val="single" w:sz="4" w:space="0" w:color="auto"/>
            </w:tcBorders>
          </w:tcPr>
          <w:p w14:paraId="0E62FFB2" w14:textId="2577E674" w:rsidR="00A60342" w:rsidRPr="00A60342" w:rsidRDefault="00A60342">
            <w:pPr>
              <w:tabs>
                <w:tab w:val="decimal" w:pos="1061"/>
              </w:tabs>
              <w:rPr>
                <w:rFonts w:ascii="Times New Roman" w:hAnsi="Times New Roman" w:cs="Times New Roman"/>
                <w:b/>
                <w:bCs/>
              </w:rPr>
            </w:pPr>
            <w:r w:rsidRPr="00A60342">
              <w:rPr>
                <w:rFonts w:ascii="Times New Roman" w:hAnsi="Times New Roman" w:cs="Times New Roman"/>
              </w:rPr>
              <w:t>104</w:t>
            </w:r>
          </w:p>
        </w:tc>
      </w:tr>
      <w:tr w:rsidR="00A60342" w:rsidRPr="00B824AA" w14:paraId="4E01B085" w14:textId="77777777" w:rsidTr="00866620">
        <w:tc>
          <w:tcPr>
            <w:tcW w:w="2551" w:type="dxa"/>
            <w:tcBorders>
              <w:top w:val="nil"/>
              <w:left w:val="single" w:sz="4" w:space="0" w:color="auto"/>
              <w:bottom w:val="nil"/>
              <w:right w:val="single" w:sz="4" w:space="0" w:color="auto"/>
            </w:tcBorders>
            <w:vAlign w:val="center"/>
          </w:tcPr>
          <w:p w14:paraId="6B1BD71B" w14:textId="561E4EE9" w:rsidR="00A60342" w:rsidRPr="00B824AA" w:rsidRDefault="00A60342">
            <w:pPr>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tcPr>
          <w:p w14:paraId="26181302" w14:textId="03D0BD19" w:rsidR="00A60342" w:rsidRPr="00A60342" w:rsidRDefault="00A60342">
            <w:pPr>
              <w:tabs>
                <w:tab w:val="decimal" w:pos="1013"/>
              </w:tabs>
              <w:rPr>
                <w:rFonts w:ascii="Times New Roman" w:hAnsi="Times New Roman" w:cs="Times New Roman"/>
                <w:color w:val="000000"/>
              </w:rPr>
            </w:pPr>
            <w:r w:rsidRPr="00A60342">
              <w:rPr>
                <w:rFonts w:ascii="Times New Roman" w:hAnsi="Times New Roman" w:cs="Times New Roman"/>
              </w:rPr>
              <w:t>100</w:t>
            </w:r>
          </w:p>
        </w:tc>
        <w:tc>
          <w:tcPr>
            <w:tcW w:w="2154" w:type="dxa"/>
            <w:tcBorders>
              <w:top w:val="nil"/>
              <w:left w:val="single" w:sz="4" w:space="0" w:color="auto"/>
              <w:bottom w:val="nil"/>
              <w:right w:val="single" w:sz="4" w:space="0" w:color="auto"/>
            </w:tcBorders>
          </w:tcPr>
          <w:p w14:paraId="049DF24C" w14:textId="79F30A19" w:rsidR="00A60342" w:rsidRPr="00A60342" w:rsidRDefault="00A60342">
            <w:pPr>
              <w:tabs>
                <w:tab w:val="decimal" w:pos="1079"/>
              </w:tabs>
              <w:rPr>
                <w:rFonts w:ascii="Times New Roman" w:hAnsi="Times New Roman" w:cs="Times New Roman"/>
                <w:color w:val="000000"/>
              </w:rPr>
            </w:pPr>
            <w:r w:rsidRPr="00A60342">
              <w:rPr>
                <w:rFonts w:ascii="Times New Roman" w:hAnsi="Times New Roman" w:cs="Times New Roman"/>
              </w:rPr>
              <w:t>99</w:t>
            </w:r>
          </w:p>
        </w:tc>
        <w:tc>
          <w:tcPr>
            <w:tcW w:w="2154" w:type="dxa"/>
            <w:tcBorders>
              <w:top w:val="nil"/>
              <w:left w:val="single" w:sz="4" w:space="0" w:color="auto"/>
              <w:bottom w:val="nil"/>
              <w:right w:val="single" w:sz="4" w:space="0" w:color="auto"/>
            </w:tcBorders>
          </w:tcPr>
          <w:p w14:paraId="3A64F46C" w14:textId="7BD74CC0" w:rsidR="00A60342" w:rsidRPr="00A60342" w:rsidRDefault="00A60342">
            <w:pPr>
              <w:tabs>
                <w:tab w:val="decimal" w:pos="1061"/>
              </w:tabs>
              <w:rPr>
                <w:rFonts w:ascii="Times New Roman" w:hAnsi="Times New Roman" w:cs="Times New Roman"/>
                <w:color w:val="000000"/>
              </w:rPr>
            </w:pPr>
            <w:r w:rsidRPr="00A60342">
              <w:rPr>
                <w:rFonts w:ascii="Times New Roman" w:hAnsi="Times New Roman" w:cs="Times New Roman"/>
              </w:rPr>
              <w:t>104</w:t>
            </w:r>
          </w:p>
        </w:tc>
      </w:tr>
      <w:tr w:rsidR="00A60342" w:rsidRPr="00B824AA" w14:paraId="2E42DCD3" w14:textId="77777777" w:rsidTr="00866620">
        <w:tc>
          <w:tcPr>
            <w:tcW w:w="2551" w:type="dxa"/>
            <w:tcBorders>
              <w:top w:val="nil"/>
              <w:left w:val="single" w:sz="4" w:space="0" w:color="auto"/>
              <w:bottom w:val="nil"/>
              <w:right w:val="single" w:sz="4" w:space="0" w:color="auto"/>
            </w:tcBorders>
            <w:vAlign w:val="center"/>
          </w:tcPr>
          <w:p w14:paraId="484D294A" w14:textId="63C62CB0" w:rsidR="00A60342" w:rsidRPr="00B824AA" w:rsidRDefault="00A60342">
            <w:pPr>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left w:val="single" w:sz="4" w:space="0" w:color="auto"/>
              <w:bottom w:val="nil"/>
              <w:right w:val="single" w:sz="4" w:space="0" w:color="auto"/>
            </w:tcBorders>
          </w:tcPr>
          <w:p w14:paraId="5335E635" w14:textId="0DA862B4" w:rsidR="00A60342" w:rsidRPr="00A60342" w:rsidRDefault="00A60342">
            <w:pPr>
              <w:tabs>
                <w:tab w:val="decimal" w:pos="1013"/>
              </w:tabs>
              <w:rPr>
                <w:rFonts w:ascii="Times New Roman" w:hAnsi="Times New Roman" w:cs="Times New Roman"/>
                <w:color w:val="000000"/>
              </w:rPr>
            </w:pPr>
            <w:r w:rsidRPr="00A60342">
              <w:rPr>
                <w:rFonts w:ascii="Times New Roman" w:hAnsi="Times New Roman" w:cs="Times New Roman"/>
              </w:rPr>
              <w:t>101</w:t>
            </w:r>
          </w:p>
        </w:tc>
        <w:tc>
          <w:tcPr>
            <w:tcW w:w="2154" w:type="dxa"/>
            <w:tcBorders>
              <w:top w:val="nil"/>
              <w:left w:val="single" w:sz="4" w:space="0" w:color="auto"/>
              <w:bottom w:val="nil"/>
              <w:right w:val="single" w:sz="4" w:space="0" w:color="auto"/>
            </w:tcBorders>
          </w:tcPr>
          <w:p w14:paraId="55CD4F6D" w14:textId="0FDF5E19" w:rsidR="00A60342" w:rsidRPr="00A60342" w:rsidRDefault="00A60342">
            <w:pPr>
              <w:tabs>
                <w:tab w:val="decimal" w:pos="1079"/>
              </w:tabs>
              <w:rPr>
                <w:rFonts w:ascii="Times New Roman" w:hAnsi="Times New Roman" w:cs="Times New Roman"/>
                <w:color w:val="000000"/>
              </w:rPr>
            </w:pPr>
            <w:r w:rsidRPr="00A60342">
              <w:rPr>
                <w:rFonts w:ascii="Times New Roman" w:hAnsi="Times New Roman" w:cs="Times New Roman"/>
              </w:rPr>
              <w:t>100</w:t>
            </w:r>
          </w:p>
        </w:tc>
        <w:tc>
          <w:tcPr>
            <w:tcW w:w="2154" w:type="dxa"/>
            <w:tcBorders>
              <w:top w:val="nil"/>
              <w:left w:val="single" w:sz="4" w:space="0" w:color="auto"/>
              <w:bottom w:val="nil"/>
              <w:right w:val="single" w:sz="4" w:space="0" w:color="auto"/>
            </w:tcBorders>
          </w:tcPr>
          <w:p w14:paraId="406CF013" w14:textId="07299C3C" w:rsidR="00A60342" w:rsidRPr="00A60342" w:rsidRDefault="00A60342">
            <w:pPr>
              <w:tabs>
                <w:tab w:val="decimal" w:pos="1061"/>
              </w:tabs>
              <w:rPr>
                <w:rFonts w:ascii="Times New Roman" w:hAnsi="Times New Roman" w:cs="Times New Roman"/>
                <w:color w:val="000000"/>
              </w:rPr>
            </w:pPr>
            <w:r w:rsidRPr="00A60342">
              <w:rPr>
                <w:rFonts w:ascii="Times New Roman" w:hAnsi="Times New Roman" w:cs="Times New Roman"/>
              </w:rPr>
              <w:t>104</w:t>
            </w:r>
          </w:p>
        </w:tc>
      </w:tr>
      <w:tr w:rsidR="001D1F8A" w:rsidRPr="00B824AA" w14:paraId="0E6D1B83" w14:textId="77777777" w:rsidTr="0077028B">
        <w:tc>
          <w:tcPr>
            <w:tcW w:w="2551" w:type="dxa"/>
            <w:tcBorders>
              <w:top w:val="nil"/>
              <w:left w:val="single" w:sz="4" w:space="0" w:color="auto"/>
              <w:bottom w:val="nil"/>
              <w:right w:val="single" w:sz="4" w:space="0" w:color="auto"/>
            </w:tcBorders>
            <w:vAlign w:val="center"/>
          </w:tcPr>
          <w:p w14:paraId="12875F68" w14:textId="77777777" w:rsidR="001D1F8A" w:rsidRDefault="001D1F8A">
            <w:pPr>
              <w:rPr>
                <w:rFonts w:ascii="Times New Roman" w:hAnsi="Times New Roman" w:cs="Times New Roman"/>
                <w:color w:val="000000"/>
              </w:rPr>
            </w:pPr>
          </w:p>
        </w:tc>
        <w:tc>
          <w:tcPr>
            <w:tcW w:w="2154" w:type="dxa"/>
            <w:tcBorders>
              <w:top w:val="nil"/>
              <w:left w:val="single" w:sz="4" w:space="0" w:color="auto"/>
              <w:bottom w:val="nil"/>
              <w:right w:val="single" w:sz="4" w:space="0" w:color="auto"/>
            </w:tcBorders>
          </w:tcPr>
          <w:p w14:paraId="6E63C74F" w14:textId="77777777" w:rsidR="001D1F8A" w:rsidRPr="00B824AA" w:rsidRDefault="001D1F8A">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04E21A30" w14:textId="77777777" w:rsidR="001D1F8A" w:rsidRPr="00B824AA" w:rsidRDefault="001D1F8A">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711359E8" w14:textId="77777777" w:rsidR="001D1F8A" w:rsidRPr="00B824AA" w:rsidRDefault="001D1F8A">
            <w:pPr>
              <w:tabs>
                <w:tab w:val="decimal" w:pos="1061"/>
              </w:tabs>
              <w:rPr>
                <w:rFonts w:ascii="Times New Roman" w:hAnsi="Times New Roman" w:cs="Times New Roman"/>
                <w:b/>
                <w:bCs/>
              </w:rPr>
            </w:pPr>
          </w:p>
        </w:tc>
      </w:tr>
      <w:tr w:rsidR="0077028B" w:rsidRPr="00B824AA" w14:paraId="48B76232" w14:textId="77777777" w:rsidTr="0077028B">
        <w:tc>
          <w:tcPr>
            <w:tcW w:w="2551" w:type="dxa"/>
            <w:tcBorders>
              <w:top w:val="nil"/>
              <w:left w:val="single" w:sz="4" w:space="0" w:color="auto"/>
              <w:bottom w:val="nil"/>
              <w:right w:val="single" w:sz="4" w:space="0" w:color="auto"/>
            </w:tcBorders>
            <w:vAlign w:val="center"/>
            <w:hideMark/>
          </w:tcPr>
          <w:p w14:paraId="75E1F3A0" w14:textId="616EB6B2" w:rsidR="0077028B" w:rsidRPr="00B824AA" w:rsidRDefault="00712D84">
            <w:pPr>
              <w:rPr>
                <w:rFonts w:ascii="Times New Roman" w:hAnsi="Times New Roman" w:cs="Times New Roman"/>
                <w:b/>
                <w:bCs/>
              </w:rPr>
            </w:pPr>
            <w:r>
              <w:rPr>
                <w:rFonts w:ascii="Times New Roman" w:hAnsi="Times New Roman" w:cs="Times New Roman"/>
                <w:color w:val="000000"/>
              </w:rPr>
              <w:t>problemy środowiskowe</w:t>
            </w:r>
          </w:p>
        </w:tc>
        <w:tc>
          <w:tcPr>
            <w:tcW w:w="2154" w:type="dxa"/>
            <w:tcBorders>
              <w:top w:val="nil"/>
              <w:left w:val="single" w:sz="4" w:space="0" w:color="auto"/>
              <w:bottom w:val="nil"/>
              <w:right w:val="single" w:sz="4" w:space="0" w:color="auto"/>
            </w:tcBorders>
          </w:tcPr>
          <w:p w14:paraId="784C260D" w14:textId="77777777" w:rsidR="0077028B" w:rsidRPr="00B824AA" w:rsidRDefault="0077028B">
            <w:pPr>
              <w:tabs>
                <w:tab w:val="decimal" w:pos="1013"/>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1C5CB457" w14:textId="77777777" w:rsidR="0077028B" w:rsidRPr="00B824AA" w:rsidRDefault="0077028B">
            <w:pPr>
              <w:tabs>
                <w:tab w:val="decimal" w:pos="1079"/>
              </w:tabs>
              <w:rPr>
                <w:rFonts w:ascii="Times New Roman" w:hAnsi="Times New Roman" w:cs="Times New Roman"/>
                <w:b/>
                <w:bCs/>
              </w:rPr>
            </w:pPr>
          </w:p>
        </w:tc>
        <w:tc>
          <w:tcPr>
            <w:tcW w:w="2154" w:type="dxa"/>
            <w:tcBorders>
              <w:top w:val="nil"/>
              <w:left w:val="single" w:sz="4" w:space="0" w:color="auto"/>
              <w:bottom w:val="nil"/>
              <w:right w:val="single" w:sz="4" w:space="0" w:color="auto"/>
            </w:tcBorders>
          </w:tcPr>
          <w:p w14:paraId="2B7F2B93" w14:textId="77777777" w:rsidR="0077028B" w:rsidRPr="00B824AA" w:rsidRDefault="0077028B">
            <w:pPr>
              <w:tabs>
                <w:tab w:val="decimal" w:pos="1061"/>
              </w:tabs>
              <w:rPr>
                <w:rFonts w:ascii="Times New Roman" w:hAnsi="Times New Roman" w:cs="Times New Roman"/>
                <w:b/>
                <w:bCs/>
              </w:rPr>
            </w:pPr>
          </w:p>
        </w:tc>
      </w:tr>
      <w:tr w:rsidR="001D1F8A" w:rsidRPr="00B824AA" w14:paraId="716068EB" w14:textId="77777777" w:rsidTr="00866620">
        <w:tc>
          <w:tcPr>
            <w:tcW w:w="2551" w:type="dxa"/>
            <w:tcBorders>
              <w:top w:val="nil"/>
              <w:left w:val="single" w:sz="4" w:space="0" w:color="auto"/>
              <w:bottom w:val="nil"/>
              <w:right w:val="single" w:sz="4" w:space="0" w:color="auto"/>
            </w:tcBorders>
            <w:vAlign w:val="center"/>
            <w:hideMark/>
          </w:tcPr>
          <w:p w14:paraId="3E3EF00E" w14:textId="77777777" w:rsidR="001D1F8A" w:rsidRPr="00B824AA" w:rsidRDefault="001D1F8A">
            <w:pPr>
              <w:rPr>
                <w:rFonts w:ascii="Times New Roman" w:hAnsi="Times New Roman" w:cs="Times New Roman"/>
                <w:b/>
                <w:bCs/>
              </w:rPr>
            </w:pPr>
            <w:r w:rsidRPr="00B824AA">
              <w:rPr>
                <w:rFonts w:ascii="Times New Roman" w:hAnsi="Times New Roman" w:cs="Times New Roman"/>
                <w:color w:val="000000"/>
              </w:rPr>
              <w:t>2010</w:t>
            </w:r>
          </w:p>
        </w:tc>
        <w:tc>
          <w:tcPr>
            <w:tcW w:w="2154" w:type="dxa"/>
            <w:tcBorders>
              <w:top w:val="nil"/>
              <w:left w:val="single" w:sz="4" w:space="0" w:color="auto"/>
              <w:bottom w:val="nil"/>
              <w:right w:val="single" w:sz="4" w:space="0" w:color="auto"/>
            </w:tcBorders>
          </w:tcPr>
          <w:p w14:paraId="0F8C2567" w14:textId="71D591FE" w:rsidR="001D1F8A" w:rsidRPr="001D1F8A" w:rsidRDefault="001D1F8A">
            <w:pPr>
              <w:tabs>
                <w:tab w:val="decimal" w:pos="1013"/>
              </w:tabs>
              <w:rPr>
                <w:rFonts w:ascii="Times New Roman" w:hAnsi="Times New Roman" w:cs="Times New Roman"/>
                <w:b/>
                <w:bCs/>
              </w:rPr>
            </w:pPr>
            <w:r w:rsidRPr="001D1F8A">
              <w:rPr>
                <w:rFonts w:ascii="Times New Roman" w:hAnsi="Times New Roman" w:cs="Times New Roman"/>
              </w:rPr>
              <w:t>112</w:t>
            </w:r>
          </w:p>
        </w:tc>
        <w:tc>
          <w:tcPr>
            <w:tcW w:w="2154" w:type="dxa"/>
            <w:tcBorders>
              <w:top w:val="nil"/>
              <w:left w:val="single" w:sz="4" w:space="0" w:color="auto"/>
              <w:bottom w:val="nil"/>
              <w:right w:val="single" w:sz="4" w:space="0" w:color="auto"/>
            </w:tcBorders>
          </w:tcPr>
          <w:p w14:paraId="0E838B81" w14:textId="294EB29D" w:rsidR="001D1F8A" w:rsidRPr="001D1F8A" w:rsidRDefault="001D1F8A">
            <w:pPr>
              <w:tabs>
                <w:tab w:val="decimal" w:pos="1079"/>
              </w:tabs>
              <w:rPr>
                <w:rFonts w:ascii="Times New Roman" w:hAnsi="Times New Roman" w:cs="Times New Roman"/>
                <w:b/>
                <w:bCs/>
              </w:rPr>
            </w:pPr>
            <w:r w:rsidRPr="001D1F8A">
              <w:rPr>
                <w:rFonts w:ascii="Times New Roman" w:hAnsi="Times New Roman" w:cs="Times New Roman"/>
              </w:rPr>
              <w:t>111</w:t>
            </w:r>
          </w:p>
        </w:tc>
        <w:tc>
          <w:tcPr>
            <w:tcW w:w="2154" w:type="dxa"/>
            <w:tcBorders>
              <w:top w:val="nil"/>
              <w:left w:val="single" w:sz="4" w:space="0" w:color="auto"/>
              <w:bottom w:val="nil"/>
              <w:right w:val="single" w:sz="4" w:space="0" w:color="auto"/>
            </w:tcBorders>
          </w:tcPr>
          <w:p w14:paraId="678B9858" w14:textId="4B26F5BE" w:rsidR="001D1F8A" w:rsidRPr="001D1F8A" w:rsidRDefault="001D1F8A">
            <w:pPr>
              <w:tabs>
                <w:tab w:val="decimal" w:pos="1061"/>
              </w:tabs>
              <w:rPr>
                <w:rFonts w:ascii="Times New Roman" w:hAnsi="Times New Roman" w:cs="Times New Roman"/>
                <w:b/>
                <w:bCs/>
              </w:rPr>
            </w:pPr>
            <w:r w:rsidRPr="001D1F8A">
              <w:rPr>
                <w:rFonts w:ascii="Times New Roman" w:hAnsi="Times New Roman" w:cs="Times New Roman"/>
              </w:rPr>
              <w:t>114</w:t>
            </w:r>
          </w:p>
        </w:tc>
      </w:tr>
      <w:tr w:rsidR="001D1F8A" w:rsidRPr="00B824AA" w14:paraId="6E09129E" w14:textId="77777777" w:rsidTr="00866620">
        <w:tc>
          <w:tcPr>
            <w:tcW w:w="2551" w:type="dxa"/>
            <w:tcBorders>
              <w:top w:val="nil"/>
              <w:left w:val="single" w:sz="4" w:space="0" w:color="auto"/>
              <w:bottom w:val="nil"/>
              <w:right w:val="single" w:sz="4" w:space="0" w:color="auto"/>
            </w:tcBorders>
            <w:vAlign w:val="center"/>
            <w:hideMark/>
          </w:tcPr>
          <w:p w14:paraId="1AA5F05E" w14:textId="77777777" w:rsidR="001D1F8A" w:rsidRPr="00B824AA" w:rsidRDefault="001D1F8A">
            <w:pPr>
              <w:rPr>
                <w:rFonts w:ascii="Times New Roman" w:hAnsi="Times New Roman" w:cs="Times New Roman"/>
                <w:b/>
                <w:bCs/>
              </w:rPr>
            </w:pPr>
            <w:r w:rsidRPr="00B824AA">
              <w:rPr>
                <w:rFonts w:ascii="Times New Roman" w:hAnsi="Times New Roman" w:cs="Times New Roman"/>
                <w:color w:val="000000"/>
              </w:rPr>
              <w:t>2015</w:t>
            </w:r>
          </w:p>
        </w:tc>
        <w:tc>
          <w:tcPr>
            <w:tcW w:w="2154" w:type="dxa"/>
            <w:tcBorders>
              <w:top w:val="nil"/>
              <w:left w:val="single" w:sz="4" w:space="0" w:color="auto"/>
              <w:bottom w:val="nil"/>
              <w:right w:val="single" w:sz="4" w:space="0" w:color="auto"/>
            </w:tcBorders>
          </w:tcPr>
          <w:p w14:paraId="6B02F653" w14:textId="30AE6985" w:rsidR="001D1F8A" w:rsidRPr="001D1F8A" w:rsidRDefault="001D1F8A">
            <w:pPr>
              <w:tabs>
                <w:tab w:val="decimal" w:pos="1013"/>
              </w:tabs>
              <w:rPr>
                <w:rFonts w:ascii="Times New Roman" w:hAnsi="Times New Roman" w:cs="Times New Roman"/>
                <w:b/>
                <w:bCs/>
              </w:rPr>
            </w:pPr>
            <w:r w:rsidRPr="001D1F8A">
              <w:rPr>
                <w:rFonts w:ascii="Times New Roman" w:hAnsi="Times New Roman" w:cs="Times New Roman"/>
              </w:rPr>
              <w:t>120</w:t>
            </w:r>
          </w:p>
        </w:tc>
        <w:tc>
          <w:tcPr>
            <w:tcW w:w="2154" w:type="dxa"/>
            <w:tcBorders>
              <w:top w:val="nil"/>
              <w:left w:val="single" w:sz="4" w:space="0" w:color="auto"/>
              <w:bottom w:val="nil"/>
              <w:right w:val="single" w:sz="4" w:space="0" w:color="auto"/>
            </w:tcBorders>
          </w:tcPr>
          <w:p w14:paraId="6BB0C67C" w14:textId="2E12D195" w:rsidR="001D1F8A" w:rsidRPr="001D1F8A" w:rsidRDefault="001D1F8A">
            <w:pPr>
              <w:tabs>
                <w:tab w:val="decimal" w:pos="1079"/>
              </w:tabs>
              <w:rPr>
                <w:rFonts w:ascii="Times New Roman" w:hAnsi="Times New Roman" w:cs="Times New Roman"/>
                <w:b/>
                <w:bCs/>
              </w:rPr>
            </w:pPr>
            <w:r w:rsidRPr="001D1F8A">
              <w:rPr>
                <w:rFonts w:ascii="Times New Roman" w:hAnsi="Times New Roman" w:cs="Times New Roman"/>
              </w:rPr>
              <w:t>125</w:t>
            </w:r>
          </w:p>
        </w:tc>
        <w:tc>
          <w:tcPr>
            <w:tcW w:w="2154" w:type="dxa"/>
            <w:tcBorders>
              <w:top w:val="nil"/>
              <w:left w:val="single" w:sz="4" w:space="0" w:color="auto"/>
              <w:bottom w:val="nil"/>
              <w:right w:val="single" w:sz="4" w:space="0" w:color="auto"/>
            </w:tcBorders>
          </w:tcPr>
          <w:p w14:paraId="77BB7875" w14:textId="22FF18CC" w:rsidR="001D1F8A" w:rsidRPr="001D1F8A" w:rsidRDefault="001D1F8A">
            <w:pPr>
              <w:tabs>
                <w:tab w:val="decimal" w:pos="1061"/>
              </w:tabs>
              <w:rPr>
                <w:rFonts w:ascii="Times New Roman" w:hAnsi="Times New Roman" w:cs="Times New Roman"/>
                <w:b/>
                <w:bCs/>
              </w:rPr>
            </w:pPr>
            <w:r w:rsidRPr="001D1F8A">
              <w:rPr>
                <w:rFonts w:ascii="Times New Roman" w:hAnsi="Times New Roman" w:cs="Times New Roman"/>
              </w:rPr>
              <w:t>107</w:t>
            </w:r>
          </w:p>
        </w:tc>
      </w:tr>
      <w:tr w:rsidR="001D1F8A" w:rsidRPr="00B824AA" w14:paraId="4C4F0229" w14:textId="77777777" w:rsidTr="00866620">
        <w:tc>
          <w:tcPr>
            <w:tcW w:w="2551" w:type="dxa"/>
            <w:tcBorders>
              <w:top w:val="nil"/>
              <w:left w:val="single" w:sz="4" w:space="0" w:color="auto"/>
              <w:bottom w:val="nil"/>
              <w:right w:val="single" w:sz="4" w:space="0" w:color="auto"/>
            </w:tcBorders>
            <w:vAlign w:val="bottom"/>
          </w:tcPr>
          <w:p w14:paraId="0F1CB209" w14:textId="702EBAA6" w:rsidR="001D1F8A" w:rsidRPr="00B824AA" w:rsidRDefault="001D1F8A">
            <w:pPr>
              <w:rPr>
                <w:rFonts w:ascii="Times New Roman" w:hAnsi="Times New Roman" w:cs="Times New Roman"/>
                <w:color w:val="000000"/>
              </w:rPr>
            </w:pPr>
            <w:r w:rsidRPr="00B824AA">
              <w:rPr>
                <w:rFonts w:ascii="Times New Roman" w:hAnsi="Times New Roman" w:cs="Times New Roman"/>
                <w:color w:val="000000"/>
              </w:rPr>
              <w:t>2020</w:t>
            </w:r>
          </w:p>
        </w:tc>
        <w:tc>
          <w:tcPr>
            <w:tcW w:w="2154" w:type="dxa"/>
            <w:tcBorders>
              <w:top w:val="nil"/>
              <w:left w:val="single" w:sz="4" w:space="0" w:color="auto"/>
              <w:bottom w:val="nil"/>
              <w:right w:val="single" w:sz="4" w:space="0" w:color="auto"/>
            </w:tcBorders>
          </w:tcPr>
          <w:p w14:paraId="5AE6CD39" w14:textId="2F671184" w:rsidR="001D1F8A" w:rsidRPr="001D1F8A" w:rsidRDefault="001D1F8A">
            <w:pPr>
              <w:tabs>
                <w:tab w:val="decimal" w:pos="1013"/>
              </w:tabs>
              <w:rPr>
                <w:rFonts w:ascii="Times New Roman" w:hAnsi="Times New Roman" w:cs="Times New Roman"/>
                <w:color w:val="000000"/>
              </w:rPr>
            </w:pPr>
            <w:r w:rsidRPr="001D1F8A">
              <w:rPr>
                <w:rFonts w:ascii="Times New Roman" w:hAnsi="Times New Roman" w:cs="Times New Roman"/>
              </w:rPr>
              <w:t>145</w:t>
            </w:r>
          </w:p>
        </w:tc>
        <w:tc>
          <w:tcPr>
            <w:tcW w:w="2154" w:type="dxa"/>
            <w:tcBorders>
              <w:top w:val="nil"/>
              <w:left w:val="single" w:sz="4" w:space="0" w:color="auto"/>
              <w:bottom w:val="nil"/>
              <w:right w:val="single" w:sz="4" w:space="0" w:color="auto"/>
            </w:tcBorders>
          </w:tcPr>
          <w:p w14:paraId="635BE842" w14:textId="2017D2C4" w:rsidR="001D1F8A" w:rsidRPr="001D1F8A" w:rsidRDefault="001D1F8A">
            <w:pPr>
              <w:tabs>
                <w:tab w:val="decimal" w:pos="1079"/>
              </w:tabs>
              <w:rPr>
                <w:rFonts w:ascii="Times New Roman" w:hAnsi="Times New Roman" w:cs="Times New Roman"/>
                <w:color w:val="000000"/>
              </w:rPr>
            </w:pPr>
            <w:r w:rsidRPr="001D1F8A">
              <w:rPr>
                <w:rFonts w:ascii="Times New Roman" w:hAnsi="Times New Roman" w:cs="Times New Roman"/>
              </w:rPr>
              <w:t>158</w:t>
            </w:r>
          </w:p>
        </w:tc>
        <w:tc>
          <w:tcPr>
            <w:tcW w:w="2154" w:type="dxa"/>
            <w:tcBorders>
              <w:top w:val="nil"/>
              <w:left w:val="single" w:sz="4" w:space="0" w:color="auto"/>
              <w:bottom w:val="nil"/>
              <w:right w:val="single" w:sz="4" w:space="0" w:color="auto"/>
            </w:tcBorders>
          </w:tcPr>
          <w:p w14:paraId="57EA2309" w14:textId="4CFD6C90" w:rsidR="001D1F8A" w:rsidRPr="001D1F8A" w:rsidRDefault="001D1F8A">
            <w:pPr>
              <w:tabs>
                <w:tab w:val="decimal" w:pos="1061"/>
              </w:tabs>
              <w:rPr>
                <w:rFonts w:ascii="Times New Roman" w:hAnsi="Times New Roman" w:cs="Times New Roman"/>
                <w:color w:val="000000"/>
              </w:rPr>
            </w:pPr>
            <w:r w:rsidRPr="001D1F8A">
              <w:rPr>
                <w:rFonts w:ascii="Times New Roman" w:hAnsi="Times New Roman" w:cs="Times New Roman"/>
              </w:rPr>
              <w:t>113</w:t>
            </w:r>
          </w:p>
        </w:tc>
      </w:tr>
      <w:tr w:rsidR="001D1F8A" w:rsidRPr="00B824AA" w14:paraId="6CF7777E" w14:textId="77777777" w:rsidTr="00866620">
        <w:tc>
          <w:tcPr>
            <w:tcW w:w="2551" w:type="dxa"/>
            <w:tcBorders>
              <w:top w:val="nil"/>
              <w:left w:val="single" w:sz="4" w:space="0" w:color="auto"/>
              <w:bottom w:val="nil"/>
              <w:right w:val="single" w:sz="4" w:space="0" w:color="auto"/>
            </w:tcBorders>
            <w:vAlign w:val="bottom"/>
            <w:hideMark/>
          </w:tcPr>
          <w:p w14:paraId="6D1C29D0" w14:textId="48503006" w:rsidR="001D1F8A" w:rsidRPr="00B824AA" w:rsidRDefault="001D1F8A">
            <w:pPr>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left w:val="single" w:sz="4" w:space="0" w:color="auto"/>
              <w:bottom w:val="nil"/>
              <w:right w:val="single" w:sz="4" w:space="0" w:color="auto"/>
            </w:tcBorders>
          </w:tcPr>
          <w:p w14:paraId="6C7CF87C" w14:textId="313AB578" w:rsidR="001D1F8A" w:rsidRPr="001D1F8A" w:rsidRDefault="001D1F8A">
            <w:pPr>
              <w:tabs>
                <w:tab w:val="decimal" w:pos="1013"/>
              </w:tabs>
              <w:rPr>
                <w:rFonts w:ascii="Times New Roman" w:hAnsi="Times New Roman" w:cs="Times New Roman"/>
              </w:rPr>
            </w:pPr>
            <w:r w:rsidRPr="001D1F8A">
              <w:rPr>
                <w:rFonts w:ascii="Times New Roman" w:hAnsi="Times New Roman" w:cs="Times New Roman"/>
              </w:rPr>
              <w:t>131</w:t>
            </w:r>
          </w:p>
        </w:tc>
        <w:tc>
          <w:tcPr>
            <w:tcW w:w="2154" w:type="dxa"/>
            <w:tcBorders>
              <w:top w:val="nil"/>
              <w:left w:val="single" w:sz="4" w:space="0" w:color="auto"/>
              <w:bottom w:val="nil"/>
              <w:right w:val="single" w:sz="4" w:space="0" w:color="auto"/>
            </w:tcBorders>
          </w:tcPr>
          <w:p w14:paraId="1155AADB" w14:textId="34507850" w:rsidR="001D1F8A" w:rsidRPr="001D1F8A" w:rsidRDefault="001D1F8A">
            <w:pPr>
              <w:tabs>
                <w:tab w:val="decimal" w:pos="1079"/>
              </w:tabs>
              <w:rPr>
                <w:rFonts w:ascii="Times New Roman" w:hAnsi="Times New Roman" w:cs="Times New Roman"/>
              </w:rPr>
            </w:pPr>
            <w:r w:rsidRPr="001D1F8A">
              <w:rPr>
                <w:rFonts w:ascii="Times New Roman" w:hAnsi="Times New Roman" w:cs="Times New Roman"/>
              </w:rPr>
              <w:t>140</w:t>
            </w:r>
          </w:p>
        </w:tc>
        <w:tc>
          <w:tcPr>
            <w:tcW w:w="2154" w:type="dxa"/>
            <w:tcBorders>
              <w:top w:val="nil"/>
              <w:left w:val="single" w:sz="4" w:space="0" w:color="auto"/>
              <w:bottom w:val="nil"/>
              <w:right w:val="single" w:sz="4" w:space="0" w:color="auto"/>
            </w:tcBorders>
          </w:tcPr>
          <w:p w14:paraId="1E884623" w14:textId="0E2465FD" w:rsidR="001D1F8A" w:rsidRPr="001D1F8A" w:rsidRDefault="001D1F8A">
            <w:pPr>
              <w:tabs>
                <w:tab w:val="decimal" w:pos="1061"/>
              </w:tabs>
              <w:rPr>
                <w:rFonts w:ascii="Times New Roman" w:hAnsi="Times New Roman" w:cs="Times New Roman"/>
              </w:rPr>
            </w:pPr>
            <w:r w:rsidRPr="001D1F8A">
              <w:rPr>
                <w:rFonts w:ascii="Times New Roman" w:hAnsi="Times New Roman" w:cs="Times New Roman"/>
              </w:rPr>
              <w:t>108</w:t>
            </w:r>
          </w:p>
        </w:tc>
      </w:tr>
      <w:tr w:rsidR="001D1F8A" w:rsidRPr="00B824AA" w14:paraId="2120005E" w14:textId="77777777" w:rsidTr="00866620">
        <w:tc>
          <w:tcPr>
            <w:tcW w:w="2551" w:type="dxa"/>
            <w:tcBorders>
              <w:top w:val="nil"/>
              <w:left w:val="single" w:sz="4" w:space="0" w:color="auto"/>
              <w:bottom w:val="single" w:sz="4" w:space="0" w:color="auto"/>
              <w:right w:val="single" w:sz="4" w:space="0" w:color="auto"/>
            </w:tcBorders>
            <w:vAlign w:val="bottom"/>
            <w:hideMark/>
          </w:tcPr>
          <w:p w14:paraId="6CB00140" w14:textId="590777A2" w:rsidR="001D1F8A" w:rsidRPr="00B824AA" w:rsidRDefault="001D1F8A" w:rsidP="00712D84">
            <w:pPr>
              <w:rPr>
                <w:rFonts w:ascii="Times New Roman" w:hAnsi="Times New Roman" w:cs="Times New Roman"/>
                <w:b/>
                <w:bCs/>
              </w:rPr>
            </w:pPr>
            <w:r w:rsidRPr="00B824AA">
              <w:rPr>
                <w:rFonts w:ascii="Times New Roman" w:hAnsi="Times New Roman" w:cs="Times New Roman"/>
                <w:color w:val="000000"/>
              </w:rPr>
              <w:t>202</w:t>
            </w:r>
            <w:r>
              <w:rPr>
                <w:rFonts w:ascii="Times New Roman" w:hAnsi="Times New Roman" w:cs="Times New Roman"/>
                <w:color w:val="000000"/>
              </w:rPr>
              <w:t>2</w:t>
            </w:r>
          </w:p>
        </w:tc>
        <w:tc>
          <w:tcPr>
            <w:tcW w:w="2154" w:type="dxa"/>
            <w:tcBorders>
              <w:top w:val="nil"/>
              <w:left w:val="single" w:sz="4" w:space="0" w:color="auto"/>
              <w:bottom w:val="single" w:sz="4" w:space="0" w:color="auto"/>
              <w:right w:val="single" w:sz="4" w:space="0" w:color="auto"/>
            </w:tcBorders>
          </w:tcPr>
          <w:p w14:paraId="372CE46B" w14:textId="256954FB" w:rsidR="001D1F8A" w:rsidRPr="001D1F8A" w:rsidRDefault="001D1F8A">
            <w:pPr>
              <w:tabs>
                <w:tab w:val="decimal" w:pos="1013"/>
              </w:tabs>
              <w:rPr>
                <w:rFonts w:ascii="Times New Roman" w:hAnsi="Times New Roman" w:cs="Times New Roman"/>
                <w:b/>
                <w:bCs/>
              </w:rPr>
            </w:pPr>
            <w:r w:rsidRPr="001D1F8A">
              <w:rPr>
                <w:rFonts w:ascii="Times New Roman" w:hAnsi="Times New Roman" w:cs="Times New Roman"/>
              </w:rPr>
              <w:t>131</w:t>
            </w:r>
          </w:p>
        </w:tc>
        <w:tc>
          <w:tcPr>
            <w:tcW w:w="2154" w:type="dxa"/>
            <w:tcBorders>
              <w:top w:val="nil"/>
              <w:left w:val="single" w:sz="4" w:space="0" w:color="auto"/>
              <w:bottom w:val="single" w:sz="4" w:space="0" w:color="auto"/>
              <w:right w:val="single" w:sz="4" w:space="0" w:color="auto"/>
            </w:tcBorders>
          </w:tcPr>
          <w:p w14:paraId="5043B390" w14:textId="54EDF241" w:rsidR="001D1F8A" w:rsidRPr="001D1F8A" w:rsidRDefault="001D1F8A">
            <w:pPr>
              <w:tabs>
                <w:tab w:val="decimal" w:pos="1079"/>
              </w:tabs>
              <w:rPr>
                <w:rFonts w:ascii="Times New Roman" w:hAnsi="Times New Roman" w:cs="Times New Roman"/>
                <w:b/>
                <w:bCs/>
              </w:rPr>
            </w:pPr>
            <w:r w:rsidRPr="001D1F8A">
              <w:rPr>
                <w:rFonts w:ascii="Times New Roman" w:hAnsi="Times New Roman" w:cs="Times New Roman"/>
              </w:rPr>
              <w:t>140</w:t>
            </w:r>
          </w:p>
        </w:tc>
        <w:tc>
          <w:tcPr>
            <w:tcW w:w="2154" w:type="dxa"/>
            <w:tcBorders>
              <w:top w:val="nil"/>
              <w:left w:val="single" w:sz="4" w:space="0" w:color="auto"/>
              <w:bottom w:val="single" w:sz="4" w:space="0" w:color="auto"/>
              <w:right w:val="single" w:sz="4" w:space="0" w:color="auto"/>
            </w:tcBorders>
          </w:tcPr>
          <w:p w14:paraId="504C7B38" w14:textId="477395FC" w:rsidR="001D1F8A" w:rsidRPr="001D1F8A" w:rsidRDefault="001D1F8A">
            <w:pPr>
              <w:tabs>
                <w:tab w:val="decimal" w:pos="1061"/>
              </w:tabs>
              <w:rPr>
                <w:rFonts w:ascii="Times New Roman" w:hAnsi="Times New Roman" w:cs="Times New Roman"/>
                <w:b/>
                <w:bCs/>
              </w:rPr>
            </w:pPr>
            <w:r w:rsidRPr="001D1F8A">
              <w:rPr>
                <w:rFonts w:ascii="Times New Roman" w:hAnsi="Times New Roman" w:cs="Times New Roman"/>
              </w:rPr>
              <w:t>108</w:t>
            </w:r>
          </w:p>
        </w:tc>
      </w:tr>
    </w:tbl>
    <w:p w14:paraId="63BAD4A3" w14:textId="66C98404" w:rsidR="0077028B" w:rsidRPr="004B695D" w:rsidRDefault="00C81797" w:rsidP="0077028B">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02896987" w14:textId="5D82B070" w:rsidR="00EA3005" w:rsidRPr="00B824AA" w:rsidRDefault="00EA3005" w:rsidP="00EA3005">
      <w:pPr>
        <w:pStyle w:val="Heading1"/>
        <w:numPr>
          <w:ilvl w:val="0"/>
          <w:numId w:val="6"/>
        </w:numPr>
        <w:rPr>
          <w:rFonts w:ascii="Times New Roman" w:hAnsi="Times New Roman" w:cs="Times New Roman"/>
          <w:sz w:val="36"/>
          <w:szCs w:val="36"/>
        </w:rPr>
      </w:pPr>
      <w:bookmarkStart w:id="9" w:name="_Toc162905465"/>
      <w:r w:rsidRPr="00B824AA">
        <w:rPr>
          <w:rFonts w:ascii="Times New Roman" w:hAnsi="Times New Roman" w:cs="Times New Roman"/>
          <w:sz w:val="36"/>
          <w:szCs w:val="36"/>
        </w:rPr>
        <w:lastRenderedPageBreak/>
        <w:t>Zdrowie</w:t>
      </w:r>
      <w:r w:rsidR="00E51A8E" w:rsidRPr="00B824AA">
        <w:rPr>
          <w:rFonts w:ascii="Times New Roman" w:hAnsi="Times New Roman" w:cs="Times New Roman"/>
          <w:sz w:val="36"/>
          <w:szCs w:val="36"/>
          <w:vertAlign w:val="superscript"/>
        </w:rPr>
        <w:footnoteReference w:id="5"/>
      </w:r>
      <w:bookmarkEnd w:id="9"/>
    </w:p>
    <w:p w14:paraId="6CA20F2C" w14:textId="5D8001C3" w:rsidR="00EA3005" w:rsidRPr="00B824AA" w:rsidRDefault="008A2901" w:rsidP="00EA3005">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 xml:space="preserve">Barbara Więckowska, </w:t>
      </w:r>
      <w:r w:rsidR="00EA3005" w:rsidRPr="00B824AA">
        <w:rPr>
          <w:rFonts w:ascii="Times New Roman" w:hAnsi="Times New Roman" w:cs="Times New Roman"/>
          <w:i/>
          <w:iCs/>
          <w:sz w:val="24"/>
          <w:szCs w:val="24"/>
        </w:rPr>
        <w:t>Agnieszka Chłoń-Domińczak</w:t>
      </w:r>
    </w:p>
    <w:p w14:paraId="2533D7D8" w14:textId="1AE2DF29" w:rsidR="008A2901" w:rsidRPr="00B824AA"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Cząstkowy wskaźnik </w:t>
      </w:r>
      <w:proofErr w:type="spellStart"/>
      <w:r w:rsidRPr="00B824AA">
        <w:rPr>
          <w:rFonts w:ascii="Times New Roman" w:hAnsi="Times New Roman" w:cs="Times New Roman"/>
          <w:i/>
          <w:iCs/>
          <w:sz w:val="24"/>
          <w:szCs w:val="24"/>
        </w:rPr>
        <w:t>catch-up</w:t>
      </w:r>
      <w:proofErr w:type="spellEnd"/>
      <w:r w:rsidRPr="00B824AA">
        <w:rPr>
          <w:rFonts w:ascii="Times New Roman" w:hAnsi="Times New Roman" w:cs="Times New Roman"/>
          <w:i/>
          <w:iCs/>
          <w:sz w:val="24"/>
          <w:szCs w:val="24"/>
        </w:rPr>
        <w:t xml:space="preserve"> </w:t>
      </w:r>
      <w:r w:rsidRPr="00B824AA">
        <w:rPr>
          <w:rFonts w:ascii="Times New Roman" w:hAnsi="Times New Roman" w:cs="Times New Roman"/>
          <w:sz w:val="24"/>
          <w:szCs w:val="24"/>
        </w:rPr>
        <w:t>w wymiarze zdrowie nie zmienia się w ciągu ostatniej dekady. W 20</w:t>
      </w:r>
      <w:r w:rsidR="0069470E">
        <w:rPr>
          <w:rFonts w:ascii="Times New Roman" w:hAnsi="Times New Roman" w:cs="Times New Roman"/>
          <w:sz w:val="24"/>
          <w:szCs w:val="24"/>
        </w:rPr>
        <w:t>22</w:t>
      </w:r>
      <w:r w:rsidRPr="00B824AA">
        <w:rPr>
          <w:rFonts w:ascii="Times New Roman" w:hAnsi="Times New Roman" w:cs="Times New Roman"/>
          <w:sz w:val="24"/>
          <w:szCs w:val="24"/>
        </w:rPr>
        <w:t xml:space="preserve"> r. wskaźnik ten wyniósł 8</w:t>
      </w:r>
      <w:r w:rsidR="00BA597B">
        <w:rPr>
          <w:rFonts w:ascii="Times New Roman" w:hAnsi="Times New Roman" w:cs="Times New Roman"/>
          <w:sz w:val="24"/>
          <w:szCs w:val="24"/>
        </w:rPr>
        <w:t>6</w:t>
      </w:r>
      <w:r w:rsidRPr="00B824AA">
        <w:rPr>
          <w:rFonts w:ascii="Times New Roman" w:hAnsi="Times New Roman" w:cs="Times New Roman"/>
          <w:sz w:val="24"/>
          <w:szCs w:val="24"/>
        </w:rPr>
        <w:t xml:space="preserve"> procent, </w:t>
      </w:r>
      <w:r w:rsidR="004C4CEE">
        <w:rPr>
          <w:rFonts w:ascii="Times New Roman" w:hAnsi="Times New Roman" w:cs="Times New Roman"/>
          <w:sz w:val="24"/>
          <w:szCs w:val="24"/>
        </w:rPr>
        <w:t>a więc niżej niż</w:t>
      </w:r>
      <w:r w:rsidRPr="00B824AA">
        <w:rPr>
          <w:rFonts w:ascii="Times New Roman" w:hAnsi="Times New Roman" w:cs="Times New Roman"/>
          <w:sz w:val="24"/>
          <w:szCs w:val="24"/>
        </w:rPr>
        <w:t xml:space="preserve"> 2010 r. Jego wartość wskazuje na utrzymujący dystans Polski do krajów UE 14 (8</w:t>
      </w:r>
      <w:r w:rsidR="0085059A">
        <w:rPr>
          <w:rFonts w:ascii="Times New Roman" w:hAnsi="Times New Roman" w:cs="Times New Roman"/>
          <w:sz w:val="24"/>
          <w:szCs w:val="24"/>
        </w:rPr>
        <w:t>5</w:t>
      </w:r>
      <w:r w:rsidRPr="00B824AA">
        <w:rPr>
          <w:rFonts w:ascii="Times New Roman" w:hAnsi="Times New Roman" w:cs="Times New Roman"/>
          <w:sz w:val="24"/>
          <w:szCs w:val="24"/>
        </w:rPr>
        <w:t xml:space="preserve"> procent w 2010 oraz </w:t>
      </w:r>
      <w:r w:rsidR="008A0792">
        <w:rPr>
          <w:rFonts w:ascii="Times New Roman" w:hAnsi="Times New Roman" w:cs="Times New Roman"/>
          <w:sz w:val="24"/>
          <w:szCs w:val="24"/>
        </w:rPr>
        <w:t xml:space="preserve">83 procent </w:t>
      </w:r>
      <w:r w:rsidRPr="00B824AA">
        <w:rPr>
          <w:rFonts w:ascii="Times New Roman" w:hAnsi="Times New Roman" w:cs="Times New Roman"/>
          <w:sz w:val="24"/>
          <w:szCs w:val="24"/>
        </w:rPr>
        <w:t>w 202</w:t>
      </w:r>
      <w:r w:rsidR="0085059A">
        <w:rPr>
          <w:rFonts w:ascii="Times New Roman" w:hAnsi="Times New Roman" w:cs="Times New Roman"/>
          <w:sz w:val="24"/>
          <w:szCs w:val="24"/>
        </w:rPr>
        <w:t>1</w:t>
      </w:r>
      <w:r w:rsidR="0069470E">
        <w:rPr>
          <w:rFonts w:ascii="Times New Roman" w:hAnsi="Times New Roman" w:cs="Times New Roman"/>
          <w:sz w:val="24"/>
          <w:szCs w:val="24"/>
        </w:rPr>
        <w:t xml:space="preserve"> i 2022 r.</w:t>
      </w:r>
      <w:r w:rsidRPr="00B824AA">
        <w:rPr>
          <w:rFonts w:ascii="Times New Roman" w:hAnsi="Times New Roman" w:cs="Times New Roman"/>
          <w:sz w:val="24"/>
          <w:szCs w:val="24"/>
        </w:rPr>
        <w:t>). W</w:t>
      </w:r>
      <w:r w:rsidR="008A0792">
        <w:rPr>
          <w:rFonts w:ascii="Times New Roman" w:hAnsi="Times New Roman" w:cs="Times New Roman"/>
          <w:sz w:val="24"/>
          <w:szCs w:val="24"/>
        </w:rPr>
        <w:t> </w:t>
      </w:r>
      <w:r w:rsidRPr="00B824AA">
        <w:rPr>
          <w:rFonts w:ascii="Times New Roman" w:hAnsi="Times New Roman" w:cs="Times New Roman"/>
          <w:sz w:val="24"/>
          <w:szCs w:val="24"/>
        </w:rPr>
        <w:t xml:space="preserve">przypadku krajów UE 13 sytuacja w obszarze zdrowie w Polsce jest lepsza niż w tych krajach, a wartość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wyniosła 10</w:t>
      </w:r>
      <w:r w:rsidR="0069470E">
        <w:rPr>
          <w:rFonts w:ascii="Times New Roman" w:hAnsi="Times New Roman" w:cs="Times New Roman"/>
          <w:sz w:val="24"/>
          <w:szCs w:val="24"/>
        </w:rPr>
        <w:t>2</w:t>
      </w:r>
      <w:r w:rsidRPr="00B824AA">
        <w:rPr>
          <w:rFonts w:ascii="Times New Roman" w:hAnsi="Times New Roman" w:cs="Times New Roman"/>
          <w:sz w:val="24"/>
          <w:szCs w:val="24"/>
        </w:rPr>
        <w:t xml:space="preserve"> procent w 202</w:t>
      </w:r>
      <w:r w:rsidR="0069470E">
        <w:rPr>
          <w:rFonts w:ascii="Times New Roman" w:hAnsi="Times New Roman" w:cs="Times New Roman"/>
          <w:sz w:val="24"/>
          <w:szCs w:val="24"/>
        </w:rPr>
        <w:t>2</w:t>
      </w:r>
      <w:r w:rsidRPr="00B824AA">
        <w:rPr>
          <w:rFonts w:ascii="Times New Roman" w:hAnsi="Times New Roman" w:cs="Times New Roman"/>
          <w:sz w:val="24"/>
          <w:szCs w:val="24"/>
        </w:rPr>
        <w:t xml:space="preserve"> r., </w:t>
      </w:r>
      <w:r w:rsidR="0069470E">
        <w:rPr>
          <w:rFonts w:ascii="Times New Roman" w:hAnsi="Times New Roman" w:cs="Times New Roman"/>
          <w:sz w:val="24"/>
          <w:szCs w:val="24"/>
        </w:rPr>
        <w:t xml:space="preserve">od 2020 </w:t>
      </w:r>
      <w:r w:rsidR="0045217C">
        <w:rPr>
          <w:rFonts w:ascii="Times New Roman" w:hAnsi="Times New Roman" w:cs="Times New Roman"/>
          <w:sz w:val="24"/>
          <w:szCs w:val="24"/>
        </w:rPr>
        <w:t>stabilnie</w:t>
      </w:r>
      <w:r w:rsidR="0069470E">
        <w:rPr>
          <w:rFonts w:ascii="Times New Roman" w:hAnsi="Times New Roman" w:cs="Times New Roman"/>
          <w:sz w:val="24"/>
          <w:szCs w:val="24"/>
        </w:rPr>
        <w:t xml:space="preserve"> na tle tej </w:t>
      </w:r>
      <w:r w:rsidR="0085059A">
        <w:rPr>
          <w:rFonts w:ascii="Times New Roman" w:hAnsi="Times New Roman" w:cs="Times New Roman"/>
          <w:sz w:val="24"/>
          <w:szCs w:val="24"/>
        </w:rPr>
        <w:t>grupy krajów.</w:t>
      </w:r>
      <w:r w:rsidRPr="00B824AA">
        <w:rPr>
          <w:rFonts w:ascii="Times New Roman" w:hAnsi="Times New Roman" w:cs="Times New Roman"/>
          <w:sz w:val="24"/>
          <w:szCs w:val="24"/>
        </w:rPr>
        <w:t xml:space="preserve"> </w:t>
      </w:r>
      <w:r w:rsidR="0085059A">
        <w:rPr>
          <w:rFonts w:ascii="Times New Roman" w:hAnsi="Times New Roman" w:cs="Times New Roman"/>
          <w:sz w:val="24"/>
          <w:szCs w:val="24"/>
        </w:rPr>
        <w:t>Wskaźni</w:t>
      </w:r>
      <w:r w:rsidR="007A59C1">
        <w:rPr>
          <w:rFonts w:ascii="Times New Roman" w:hAnsi="Times New Roman" w:cs="Times New Roman"/>
          <w:sz w:val="24"/>
          <w:szCs w:val="24"/>
        </w:rPr>
        <w:t>k</w:t>
      </w:r>
      <w:r w:rsidRPr="00B824AA">
        <w:rPr>
          <w:rFonts w:ascii="Times New Roman" w:hAnsi="Times New Roman" w:cs="Times New Roman"/>
          <w:sz w:val="24"/>
          <w:szCs w:val="24"/>
        </w:rPr>
        <w:t xml:space="preserve">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w</w:t>
      </w:r>
      <w:r w:rsidR="0085059A">
        <w:rPr>
          <w:rFonts w:ascii="Times New Roman" w:hAnsi="Times New Roman" w:cs="Times New Roman"/>
          <w:sz w:val="24"/>
          <w:szCs w:val="24"/>
        </w:rPr>
        <w:t> wymiarze</w:t>
      </w:r>
      <w:r w:rsidRPr="00B824AA">
        <w:rPr>
          <w:rFonts w:ascii="Times New Roman" w:hAnsi="Times New Roman" w:cs="Times New Roman"/>
          <w:sz w:val="24"/>
          <w:szCs w:val="24"/>
        </w:rPr>
        <w:t xml:space="preserve"> zdrowia obliczony na podstawie sześciu wskaźników cząstkowych, które obejmu</w:t>
      </w:r>
      <w:r w:rsidR="00477C57">
        <w:rPr>
          <w:rFonts w:ascii="Times New Roman" w:hAnsi="Times New Roman" w:cs="Times New Roman"/>
          <w:sz w:val="24"/>
          <w:szCs w:val="24"/>
        </w:rPr>
        <w:t>j</w:t>
      </w:r>
      <w:r w:rsidRPr="00B824AA">
        <w:rPr>
          <w:rFonts w:ascii="Times New Roman" w:hAnsi="Times New Roman" w:cs="Times New Roman"/>
          <w:sz w:val="24"/>
          <w:szCs w:val="24"/>
        </w:rPr>
        <w:t>ą</w:t>
      </w:r>
      <w:r w:rsidR="00477C57">
        <w:rPr>
          <w:rFonts w:ascii="Times New Roman" w:hAnsi="Times New Roman" w:cs="Times New Roman"/>
          <w:sz w:val="24"/>
          <w:szCs w:val="24"/>
        </w:rPr>
        <w:t xml:space="preserve"> dalsze trwanie życia, subiektywną </w:t>
      </w:r>
      <w:r w:rsidRPr="00B824AA">
        <w:rPr>
          <w:rFonts w:ascii="Times New Roman" w:hAnsi="Times New Roman" w:cs="Times New Roman"/>
          <w:sz w:val="24"/>
          <w:szCs w:val="24"/>
        </w:rPr>
        <w:t>ocen</w:t>
      </w:r>
      <w:r w:rsidR="00477C57">
        <w:rPr>
          <w:rFonts w:ascii="Times New Roman" w:hAnsi="Times New Roman" w:cs="Times New Roman"/>
          <w:sz w:val="24"/>
          <w:szCs w:val="24"/>
        </w:rPr>
        <w:t>ę</w:t>
      </w:r>
      <w:r w:rsidRPr="00B824AA">
        <w:rPr>
          <w:rFonts w:ascii="Times New Roman" w:hAnsi="Times New Roman" w:cs="Times New Roman"/>
          <w:sz w:val="24"/>
          <w:szCs w:val="24"/>
        </w:rPr>
        <w:t xml:space="preserve"> stanu zdrowia, zachowania zdrowotne oraz realizację potrzeb zdrowotnych</w:t>
      </w:r>
      <w:r w:rsidR="00D9615A" w:rsidRPr="00B824AA">
        <w:rPr>
          <w:rFonts w:ascii="Times New Roman" w:hAnsi="Times New Roman" w:cs="Times New Roman"/>
          <w:sz w:val="24"/>
          <w:szCs w:val="24"/>
        </w:rPr>
        <w:t>.</w:t>
      </w:r>
    </w:p>
    <w:p w14:paraId="50EC3017" w14:textId="1F9769F8" w:rsidR="008A2901"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Pierwszy wskaźnik cząstkowy w tym </w:t>
      </w:r>
      <w:r w:rsidR="00477C57">
        <w:rPr>
          <w:rFonts w:ascii="Times New Roman" w:hAnsi="Times New Roman" w:cs="Times New Roman"/>
          <w:sz w:val="24"/>
          <w:szCs w:val="24"/>
        </w:rPr>
        <w:t>wymiarze</w:t>
      </w:r>
      <w:r w:rsidRPr="00B824AA">
        <w:rPr>
          <w:rFonts w:ascii="Times New Roman" w:hAnsi="Times New Roman" w:cs="Times New Roman"/>
          <w:sz w:val="24"/>
          <w:szCs w:val="24"/>
        </w:rPr>
        <w:t xml:space="preserve"> to wskaźnik przeciętnego dalszego trwania życia w zdrowiu, obliczany dla wieku 0 (tj. dla urodzonych dzieci), bez względu na płeć. W</w:t>
      </w:r>
      <w:r w:rsidR="00D93E26">
        <w:rPr>
          <w:rFonts w:ascii="Times New Roman" w:hAnsi="Times New Roman" w:cs="Times New Roman"/>
          <w:sz w:val="24"/>
          <w:szCs w:val="24"/>
        </w:rPr>
        <w:t xml:space="preserve">artości tego wskaźnika </w:t>
      </w:r>
      <w:r w:rsidRPr="00B824AA">
        <w:rPr>
          <w:rFonts w:ascii="Times New Roman" w:hAnsi="Times New Roman" w:cs="Times New Roman"/>
          <w:sz w:val="24"/>
          <w:szCs w:val="24"/>
        </w:rPr>
        <w:t>wskazuj</w:t>
      </w:r>
      <w:r w:rsidR="00D93E26">
        <w:rPr>
          <w:rFonts w:ascii="Times New Roman" w:hAnsi="Times New Roman" w:cs="Times New Roman"/>
          <w:sz w:val="24"/>
          <w:szCs w:val="24"/>
        </w:rPr>
        <w:t>ą</w:t>
      </w:r>
      <w:r w:rsidRPr="00B824AA">
        <w:rPr>
          <w:rFonts w:ascii="Times New Roman" w:hAnsi="Times New Roman" w:cs="Times New Roman"/>
          <w:sz w:val="24"/>
          <w:szCs w:val="24"/>
        </w:rPr>
        <w:t xml:space="preserve"> na utrzymującą się relację dalszego trwania życia w zdrowiu w Polsce do średniej w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xml:space="preserve">, a także w krajach </w:t>
      </w:r>
      <w:r w:rsidR="00D9615A" w:rsidRPr="00B824AA">
        <w:rPr>
          <w:rFonts w:ascii="Times New Roman" w:hAnsi="Times New Roman" w:cs="Times New Roman"/>
          <w:sz w:val="24"/>
          <w:szCs w:val="24"/>
        </w:rPr>
        <w:t>UE 14 i UE 13</w:t>
      </w:r>
      <w:r w:rsidRPr="00B824AA">
        <w:rPr>
          <w:rFonts w:ascii="Times New Roman" w:hAnsi="Times New Roman" w:cs="Times New Roman"/>
          <w:sz w:val="24"/>
          <w:szCs w:val="24"/>
        </w:rPr>
        <w:t xml:space="preserve">. </w:t>
      </w:r>
      <w:r w:rsidR="000E20DE">
        <w:rPr>
          <w:rFonts w:ascii="Times New Roman" w:hAnsi="Times New Roman" w:cs="Times New Roman"/>
          <w:sz w:val="24"/>
          <w:szCs w:val="24"/>
        </w:rPr>
        <w:t>P</w:t>
      </w:r>
      <w:r w:rsidRPr="00B824AA">
        <w:rPr>
          <w:rFonts w:ascii="Times New Roman" w:hAnsi="Times New Roman" w:cs="Times New Roman"/>
          <w:sz w:val="24"/>
          <w:szCs w:val="24"/>
        </w:rPr>
        <w:t xml:space="preserve">rzeciętne trwanie życia w zdrowiu Polek i Polaków jest </w:t>
      </w:r>
      <w:r w:rsidR="000E20DE">
        <w:rPr>
          <w:rFonts w:ascii="Times New Roman" w:hAnsi="Times New Roman" w:cs="Times New Roman"/>
          <w:sz w:val="24"/>
          <w:szCs w:val="24"/>
        </w:rPr>
        <w:t xml:space="preserve">zbliżone zarówno do krajów UE 14 </w:t>
      </w:r>
      <w:r w:rsidRPr="00B824AA">
        <w:rPr>
          <w:rFonts w:ascii="Times New Roman" w:hAnsi="Times New Roman" w:cs="Times New Roman"/>
          <w:sz w:val="24"/>
          <w:szCs w:val="24"/>
        </w:rPr>
        <w:t>(9</w:t>
      </w:r>
      <w:r w:rsidR="000E20DE">
        <w:rPr>
          <w:rFonts w:ascii="Times New Roman" w:hAnsi="Times New Roman" w:cs="Times New Roman"/>
          <w:sz w:val="24"/>
          <w:szCs w:val="24"/>
        </w:rPr>
        <w:t>9</w:t>
      </w:r>
      <w:r w:rsidR="00E26BAA" w:rsidRPr="00B824AA">
        <w:rPr>
          <w:rFonts w:ascii="Times New Roman" w:hAnsi="Times New Roman" w:cs="Times New Roman"/>
          <w:sz w:val="24"/>
          <w:szCs w:val="24"/>
        </w:rPr>
        <w:t xml:space="preserve"> </w:t>
      </w:r>
      <w:r w:rsidRPr="00B824AA">
        <w:rPr>
          <w:rFonts w:ascii="Times New Roman" w:hAnsi="Times New Roman" w:cs="Times New Roman"/>
          <w:sz w:val="24"/>
          <w:szCs w:val="24"/>
        </w:rPr>
        <w:t>procent w 202</w:t>
      </w:r>
      <w:r w:rsidR="000E20DE">
        <w:rPr>
          <w:rFonts w:ascii="Times New Roman" w:hAnsi="Times New Roman" w:cs="Times New Roman"/>
          <w:sz w:val="24"/>
          <w:szCs w:val="24"/>
        </w:rPr>
        <w:t>2</w:t>
      </w:r>
      <w:r w:rsidRPr="00B824AA">
        <w:rPr>
          <w:rFonts w:ascii="Times New Roman" w:hAnsi="Times New Roman" w:cs="Times New Roman"/>
          <w:sz w:val="24"/>
          <w:szCs w:val="24"/>
        </w:rPr>
        <w:t xml:space="preserve"> r.), </w:t>
      </w:r>
      <w:r w:rsidR="000E20DE">
        <w:rPr>
          <w:rFonts w:ascii="Times New Roman" w:hAnsi="Times New Roman" w:cs="Times New Roman"/>
          <w:sz w:val="24"/>
          <w:szCs w:val="24"/>
        </w:rPr>
        <w:t>jak i krajów</w:t>
      </w:r>
      <w:r w:rsidRPr="00B824AA">
        <w:rPr>
          <w:rFonts w:ascii="Times New Roman" w:hAnsi="Times New Roman" w:cs="Times New Roman"/>
          <w:sz w:val="24"/>
          <w:szCs w:val="24"/>
        </w:rPr>
        <w:t xml:space="preserve"> </w:t>
      </w:r>
      <w:r w:rsidR="00E26BAA" w:rsidRPr="00B824AA">
        <w:rPr>
          <w:rFonts w:ascii="Times New Roman" w:hAnsi="Times New Roman" w:cs="Times New Roman"/>
          <w:sz w:val="24"/>
          <w:szCs w:val="24"/>
        </w:rPr>
        <w:t xml:space="preserve">UE 13 </w:t>
      </w:r>
      <w:r w:rsidRPr="00B824AA">
        <w:rPr>
          <w:rFonts w:ascii="Times New Roman" w:hAnsi="Times New Roman" w:cs="Times New Roman"/>
          <w:sz w:val="24"/>
          <w:szCs w:val="24"/>
        </w:rPr>
        <w:t>(10</w:t>
      </w:r>
      <w:r w:rsidR="000E20DE">
        <w:rPr>
          <w:rFonts w:ascii="Times New Roman" w:hAnsi="Times New Roman" w:cs="Times New Roman"/>
          <w:sz w:val="24"/>
          <w:szCs w:val="24"/>
        </w:rPr>
        <w:t>1</w:t>
      </w:r>
      <w:r w:rsidRPr="00B824AA">
        <w:rPr>
          <w:rFonts w:ascii="Times New Roman" w:hAnsi="Times New Roman" w:cs="Times New Roman"/>
          <w:sz w:val="24"/>
          <w:szCs w:val="24"/>
        </w:rPr>
        <w:t xml:space="preserve"> procent w 202</w:t>
      </w:r>
      <w:r w:rsidR="000E20DE">
        <w:rPr>
          <w:rFonts w:ascii="Times New Roman" w:hAnsi="Times New Roman" w:cs="Times New Roman"/>
          <w:sz w:val="24"/>
          <w:szCs w:val="24"/>
        </w:rPr>
        <w:t>2</w:t>
      </w:r>
      <w:r w:rsidRPr="00B824AA">
        <w:rPr>
          <w:rFonts w:ascii="Times New Roman" w:hAnsi="Times New Roman" w:cs="Times New Roman"/>
          <w:sz w:val="24"/>
          <w:szCs w:val="24"/>
        </w:rPr>
        <w:t> r.).</w:t>
      </w:r>
      <w:r w:rsidR="000E20DE">
        <w:rPr>
          <w:rFonts w:ascii="Times New Roman" w:hAnsi="Times New Roman" w:cs="Times New Roman"/>
          <w:sz w:val="24"/>
          <w:szCs w:val="24"/>
        </w:rPr>
        <w:t xml:space="preserve"> W 2022 r. w porównaniu do roku poprzedniego poprawiła się sytuacja w porównaniu do krajów UE 14, a pogorszyła w porównaniu do krajów UE 13.</w:t>
      </w:r>
    </w:p>
    <w:p w14:paraId="0FFDCC28" w14:textId="337D3F5D" w:rsidR="008A2901" w:rsidRPr="00B824AA"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Drugim wskaźnikiem cząstkowym jest wskaźnik samoocen</w:t>
      </w:r>
      <w:r w:rsidR="00330D26">
        <w:rPr>
          <w:rFonts w:ascii="Times New Roman" w:hAnsi="Times New Roman" w:cs="Times New Roman"/>
          <w:sz w:val="24"/>
          <w:szCs w:val="24"/>
        </w:rPr>
        <w:t>y</w:t>
      </w:r>
      <w:r w:rsidRPr="00B824AA">
        <w:rPr>
          <w:rFonts w:ascii="Times New Roman" w:hAnsi="Times New Roman" w:cs="Times New Roman"/>
          <w:sz w:val="24"/>
          <w:szCs w:val="24"/>
        </w:rPr>
        <w:t xml:space="preserve"> stanu zdrowia, któr</w:t>
      </w:r>
      <w:r w:rsidR="00330D26">
        <w:rPr>
          <w:rFonts w:ascii="Times New Roman" w:hAnsi="Times New Roman" w:cs="Times New Roman"/>
          <w:sz w:val="24"/>
          <w:szCs w:val="24"/>
        </w:rPr>
        <w:t>y</w:t>
      </w:r>
      <w:r w:rsidRPr="00B824AA">
        <w:rPr>
          <w:rFonts w:ascii="Times New Roman" w:hAnsi="Times New Roman" w:cs="Times New Roman"/>
          <w:sz w:val="24"/>
          <w:szCs w:val="24"/>
        </w:rPr>
        <w:t xml:space="preserve"> jest </w:t>
      </w:r>
      <w:r w:rsidR="00D93E26" w:rsidRPr="00B824AA">
        <w:rPr>
          <w:rFonts w:ascii="Times New Roman" w:hAnsi="Times New Roman" w:cs="Times New Roman"/>
          <w:sz w:val="24"/>
          <w:szCs w:val="24"/>
        </w:rPr>
        <w:t>mierzon</w:t>
      </w:r>
      <w:r w:rsidR="00D93E26">
        <w:rPr>
          <w:rFonts w:ascii="Times New Roman" w:hAnsi="Times New Roman" w:cs="Times New Roman"/>
          <w:sz w:val="24"/>
          <w:szCs w:val="24"/>
        </w:rPr>
        <w:t>y</w:t>
      </w:r>
      <w:r w:rsidR="00D93E26" w:rsidRPr="00B824AA">
        <w:rPr>
          <w:rFonts w:ascii="Times New Roman" w:hAnsi="Times New Roman" w:cs="Times New Roman"/>
          <w:sz w:val="24"/>
          <w:szCs w:val="24"/>
        </w:rPr>
        <w:t xml:space="preserve"> </w:t>
      </w:r>
      <w:r w:rsidRPr="00B824AA">
        <w:rPr>
          <w:rFonts w:ascii="Times New Roman" w:hAnsi="Times New Roman" w:cs="Times New Roman"/>
          <w:sz w:val="24"/>
          <w:szCs w:val="24"/>
        </w:rPr>
        <w:t>jako procent osób w wieku 16 lat lub więcej postrzegających swój stan zdrowia jako dobry albo bardzo dobry. Wskaźnik ten kształtuje się mniej korzystnie niż wcześniejszy, obiektywny wskaźnik dotyczący długości trwania życia. Jednocześnie jednak odsetek osób</w:t>
      </w:r>
      <w:r w:rsidR="00B73D0F">
        <w:rPr>
          <w:rFonts w:ascii="Times New Roman" w:hAnsi="Times New Roman" w:cs="Times New Roman"/>
          <w:sz w:val="24"/>
          <w:szCs w:val="24"/>
        </w:rPr>
        <w:t>,</w:t>
      </w:r>
      <w:r w:rsidRPr="00B824AA">
        <w:rPr>
          <w:rFonts w:ascii="Times New Roman" w:hAnsi="Times New Roman" w:cs="Times New Roman"/>
          <w:sz w:val="24"/>
          <w:szCs w:val="24"/>
        </w:rPr>
        <w:t xml:space="preserve"> które postrzegają swoje zdrowie jako dobre</w:t>
      </w:r>
      <w:r w:rsidR="00B73D0F">
        <w:rPr>
          <w:rFonts w:ascii="Times New Roman" w:hAnsi="Times New Roman" w:cs="Times New Roman"/>
          <w:sz w:val="24"/>
          <w:szCs w:val="24"/>
        </w:rPr>
        <w:t>,</w:t>
      </w:r>
      <w:r w:rsidRPr="00B824AA">
        <w:rPr>
          <w:rFonts w:ascii="Times New Roman" w:hAnsi="Times New Roman" w:cs="Times New Roman"/>
          <w:sz w:val="24"/>
          <w:szCs w:val="24"/>
        </w:rPr>
        <w:t xml:space="preserve"> w porównaniu do krajów UE 2</w:t>
      </w:r>
      <w:r w:rsidR="00D9615A" w:rsidRPr="00B824AA">
        <w:rPr>
          <w:rFonts w:ascii="Times New Roman" w:hAnsi="Times New Roman" w:cs="Times New Roman"/>
          <w:sz w:val="24"/>
          <w:szCs w:val="24"/>
        </w:rPr>
        <w:t>7</w:t>
      </w:r>
      <w:r w:rsidR="00B73D0F">
        <w:rPr>
          <w:rFonts w:ascii="Times New Roman" w:hAnsi="Times New Roman" w:cs="Times New Roman"/>
          <w:sz w:val="24"/>
          <w:szCs w:val="24"/>
        </w:rPr>
        <w:t>,</w:t>
      </w:r>
      <w:r w:rsidR="00D9615A" w:rsidRPr="00B824AA">
        <w:rPr>
          <w:rFonts w:ascii="Times New Roman" w:hAnsi="Times New Roman" w:cs="Times New Roman"/>
          <w:sz w:val="24"/>
          <w:szCs w:val="24"/>
        </w:rPr>
        <w:t xml:space="preserve"> </w:t>
      </w:r>
      <w:r w:rsidRPr="00B824AA">
        <w:rPr>
          <w:rFonts w:ascii="Times New Roman" w:hAnsi="Times New Roman" w:cs="Times New Roman"/>
          <w:sz w:val="24"/>
          <w:szCs w:val="24"/>
        </w:rPr>
        <w:t>rośnie. W 202</w:t>
      </w:r>
      <w:r w:rsidR="00E20145">
        <w:rPr>
          <w:rFonts w:ascii="Times New Roman" w:hAnsi="Times New Roman" w:cs="Times New Roman"/>
          <w:sz w:val="24"/>
          <w:szCs w:val="24"/>
        </w:rPr>
        <w:t>3</w:t>
      </w:r>
      <w:r w:rsidRPr="00B824AA">
        <w:rPr>
          <w:rFonts w:ascii="Times New Roman" w:hAnsi="Times New Roman" w:cs="Times New Roman"/>
          <w:sz w:val="24"/>
          <w:szCs w:val="24"/>
        </w:rPr>
        <w:t xml:space="preserve"> r. wskaźnik ten wyniósł </w:t>
      </w:r>
      <w:r w:rsidR="00330D26">
        <w:rPr>
          <w:rFonts w:ascii="Times New Roman" w:hAnsi="Times New Roman" w:cs="Times New Roman"/>
          <w:sz w:val="24"/>
          <w:szCs w:val="24"/>
        </w:rPr>
        <w:t>9</w:t>
      </w:r>
      <w:r w:rsidR="00E20145">
        <w:rPr>
          <w:rFonts w:ascii="Times New Roman" w:hAnsi="Times New Roman" w:cs="Times New Roman"/>
          <w:sz w:val="24"/>
          <w:szCs w:val="24"/>
        </w:rPr>
        <w:t>3</w:t>
      </w:r>
      <w:r w:rsidR="00330D26">
        <w:rPr>
          <w:rFonts w:ascii="Times New Roman" w:hAnsi="Times New Roman" w:cs="Times New Roman"/>
          <w:sz w:val="24"/>
          <w:szCs w:val="24"/>
        </w:rPr>
        <w:t xml:space="preserve"> </w:t>
      </w:r>
      <w:r w:rsidRPr="00B824AA">
        <w:rPr>
          <w:rFonts w:ascii="Times New Roman" w:hAnsi="Times New Roman" w:cs="Times New Roman"/>
          <w:sz w:val="24"/>
          <w:szCs w:val="24"/>
        </w:rPr>
        <w:t xml:space="preserve">procent, tj. o </w:t>
      </w:r>
      <w:r w:rsidR="00E20145">
        <w:rPr>
          <w:rFonts w:ascii="Times New Roman" w:hAnsi="Times New Roman" w:cs="Times New Roman"/>
          <w:sz w:val="24"/>
          <w:szCs w:val="24"/>
        </w:rPr>
        <w:t>6</w:t>
      </w:r>
      <w:r w:rsidRPr="00B824AA">
        <w:rPr>
          <w:rFonts w:ascii="Times New Roman" w:hAnsi="Times New Roman" w:cs="Times New Roman"/>
          <w:sz w:val="24"/>
          <w:szCs w:val="24"/>
        </w:rPr>
        <w:t xml:space="preserve"> punkt</w:t>
      </w:r>
      <w:r w:rsidR="00330D26">
        <w:rPr>
          <w:rFonts w:ascii="Times New Roman" w:hAnsi="Times New Roman" w:cs="Times New Roman"/>
          <w:sz w:val="24"/>
          <w:szCs w:val="24"/>
        </w:rPr>
        <w:t>ów</w:t>
      </w:r>
      <w:r w:rsidRPr="00B824AA">
        <w:rPr>
          <w:rFonts w:ascii="Times New Roman" w:hAnsi="Times New Roman" w:cs="Times New Roman"/>
          <w:sz w:val="24"/>
          <w:szCs w:val="24"/>
        </w:rPr>
        <w:t xml:space="preserve"> procentow</w:t>
      </w:r>
      <w:r w:rsidR="00330D26">
        <w:rPr>
          <w:rFonts w:ascii="Times New Roman" w:hAnsi="Times New Roman" w:cs="Times New Roman"/>
          <w:sz w:val="24"/>
          <w:szCs w:val="24"/>
        </w:rPr>
        <w:t>ych</w:t>
      </w:r>
      <w:r w:rsidRPr="00B824AA">
        <w:rPr>
          <w:rFonts w:ascii="Times New Roman" w:hAnsi="Times New Roman" w:cs="Times New Roman"/>
          <w:sz w:val="24"/>
          <w:szCs w:val="24"/>
        </w:rPr>
        <w:t xml:space="preserve"> więcej niż w 2010 r.</w:t>
      </w:r>
      <w:r w:rsidR="00E20145">
        <w:rPr>
          <w:rFonts w:ascii="Times New Roman" w:hAnsi="Times New Roman" w:cs="Times New Roman"/>
          <w:sz w:val="24"/>
          <w:szCs w:val="24"/>
        </w:rPr>
        <w:t>, nieco mniej (</w:t>
      </w:r>
      <w:r w:rsidR="00330D26">
        <w:rPr>
          <w:rFonts w:ascii="Times New Roman" w:hAnsi="Times New Roman" w:cs="Times New Roman"/>
          <w:sz w:val="24"/>
          <w:szCs w:val="24"/>
        </w:rPr>
        <w:t xml:space="preserve">o </w:t>
      </w:r>
      <w:r w:rsidR="00E20145">
        <w:rPr>
          <w:rFonts w:ascii="Times New Roman" w:hAnsi="Times New Roman" w:cs="Times New Roman"/>
          <w:sz w:val="24"/>
          <w:szCs w:val="24"/>
        </w:rPr>
        <w:t>1</w:t>
      </w:r>
      <w:r w:rsidR="00330D26">
        <w:rPr>
          <w:rFonts w:ascii="Times New Roman" w:hAnsi="Times New Roman" w:cs="Times New Roman"/>
          <w:sz w:val="24"/>
          <w:szCs w:val="24"/>
        </w:rPr>
        <w:t xml:space="preserve"> punkt procentow</w:t>
      </w:r>
      <w:r w:rsidR="00E20145">
        <w:rPr>
          <w:rFonts w:ascii="Times New Roman" w:hAnsi="Times New Roman" w:cs="Times New Roman"/>
          <w:sz w:val="24"/>
          <w:szCs w:val="24"/>
        </w:rPr>
        <w:t>y)</w:t>
      </w:r>
      <w:r w:rsidR="00330D26">
        <w:rPr>
          <w:rFonts w:ascii="Times New Roman" w:hAnsi="Times New Roman" w:cs="Times New Roman"/>
          <w:sz w:val="24"/>
          <w:szCs w:val="24"/>
        </w:rPr>
        <w:t xml:space="preserve"> niż w 202</w:t>
      </w:r>
      <w:r w:rsidR="00E20145">
        <w:rPr>
          <w:rFonts w:ascii="Times New Roman" w:hAnsi="Times New Roman" w:cs="Times New Roman"/>
          <w:sz w:val="24"/>
          <w:szCs w:val="24"/>
        </w:rPr>
        <w:t>1</w:t>
      </w:r>
      <w:r w:rsidR="00330D26">
        <w:rPr>
          <w:rFonts w:ascii="Times New Roman" w:hAnsi="Times New Roman" w:cs="Times New Roman"/>
          <w:sz w:val="24"/>
          <w:szCs w:val="24"/>
        </w:rPr>
        <w:t xml:space="preserve"> r. </w:t>
      </w:r>
      <w:r w:rsidRPr="00B824AA">
        <w:rPr>
          <w:rFonts w:ascii="Times New Roman" w:hAnsi="Times New Roman" w:cs="Times New Roman"/>
          <w:sz w:val="24"/>
          <w:szCs w:val="24"/>
        </w:rPr>
        <w:t xml:space="preserve">Podobnie jak w przypadku średniego trwania życia, różnica w samoocenie stanu zdrowia jest większa w relacji do krajów </w:t>
      </w:r>
      <w:r w:rsidR="00D9615A" w:rsidRPr="00B824AA">
        <w:rPr>
          <w:rFonts w:ascii="Times New Roman" w:hAnsi="Times New Roman" w:cs="Times New Roman"/>
          <w:sz w:val="24"/>
          <w:szCs w:val="24"/>
        </w:rPr>
        <w:t>UE 14</w:t>
      </w:r>
      <w:r w:rsidRPr="00B824AA">
        <w:rPr>
          <w:rFonts w:ascii="Times New Roman" w:hAnsi="Times New Roman" w:cs="Times New Roman"/>
          <w:sz w:val="24"/>
          <w:szCs w:val="24"/>
        </w:rPr>
        <w:t xml:space="preserve"> (</w:t>
      </w:r>
      <w:r w:rsidR="00330D26">
        <w:rPr>
          <w:rFonts w:ascii="Times New Roman" w:hAnsi="Times New Roman" w:cs="Times New Roman"/>
          <w:sz w:val="24"/>
          <w:szCs w:val="24"/>
        </w:rPr>
        <w:t>9</w:t>
      </w:r>
      <w:r w:rsidR="00A42709">
        <w:rPr>
          <w:rFonts w:ascii="Times New Roman" w:hAnsi="Times New Roman" w:cs="Times New Roman"/>
          <w:sz w:val="24"/>
          <w:szCs w:val="24"/>
        </w:rPr>
        <w:t>2</w:t>
      </w:r>
      <w:r w:rsidRPr="00B824AA">
        <w:rPr>
          <w:rFonts w:ascii="Times New Roman" w:hAnsi="Times New Roman" w:cs="Times New Roman"/>
          <w:sz w:val="24"/>
          <w:szCs w:val="24"/>
        </w:rPr>
        <w:t xml:space="preserve"> procent w 202</w:t>
      </w:r>
      <w:r w:rsidR="00A42709">
        <w:rPr>
          <w:rFonts w:ascii="Times New Roman" w:hAnsi="Times New Roman" w:cs="Times New Roman"/>
          <w:sz w:val="24"/>
          <w:szCs w:val="24"/>
        </w:rPr>
        <w:t>2</w:t>
      </w:r>
      <w:r w:rsidRPr="00B824AA">
        <w:rPr>
          <w:rFonts w:ascii="Times New Roman" w:hAnsi="Times New Roman" w:cs="Times New Roman"/>
          <w:sz w:val="24"/>
          <w:szCs w:val="24"/>
        </w:rPr>
        <w:t xml:space="preserve"> r.), niż w relacji do krajów </w:t>
      </w:r>
      <w:r w:rsidR="00D9615A" w:rsidRPr="00B824AA">
        <w:rPr>
          <w:rFonts w:ascii="Times New Roman" w:hAnsi="Times New Roman" w:cs="Times New Roman"/>
          <w:sz w:val="24"/>
          <w:szCs w:val="24"/>
        </w:rPr>
        <w:t>UE 13</w:t>
      </w:r>
      <w:r w:rsidRPr="00B824AA">
        <w:rPr>
          <w:rFonts w:ascii="Times New Roman" w:hAnsi="Times New Roman" w:cs="Times New Roman"/>
          <w:sz w:val="24"/>
          <w:szCs w:val="24"/>
        </w:rPr>
        <w:t xml:space="preserve"> (9</w:t>
      </w:r>
      <w:r w:rsidR="00A42709">
        <w:rPr>
          <w:rFonts w:ascii="Times New Roman" w:hAnsi="Times New Roman" w:cs="Times New Roman"/>
          <w:sz w:val="24"/>
          <w:szCs w:val="24"/>
        </w:rPr>
        <w:t>5</w:t>
      </w:r>
      <w:r w:rsidRPr="00B824AA">
        <w:rPr>
          <w:rFonts w:ascii="Times New Roman" w:hAnsi="Times New Roman" w:cs="Times New Roman"/>
          <w:sz w:val="24"/>
          <w:szCs w:val="24"/>
        </w:rPr>
        <w:t xml:space="preserve"> procent w 202</w:t>
      </w:r>
      <w:r w:rsidR="00A42709">
        <w:rPr>
          <w:rFonts w:ascii="Times New Roman" w:hAnsi="Times New Roman" w:cs="Times New Roman"/>
          <w:sz w:val="24"/>
          <w:szCs w:val="24"/>
        </w:rPr>
        <w:t>2</w:t>
      </w:r>
      <w:r w:rsidRPr="00B824AA">
        <w:rPr>
          <w:rFonts w:ascii="Times New Roman" w:hAnsi="Times New Roman" w:cs="Times New Roman"/>
          <w:sz w:val="24"/>
          <w:szCs w:val="24"/>
        </w:rPr>
        <w:t xml:space="preserve"> r.). </w:t>
      </w:r>
      <w:r w:rsidR="00330D26">
        <w:rPr>
          <w:rFonts w:ascii="Times New Roman" w:hAnsi="Times New Roman" w:cs="Times New Roman"/>
          <w:sz w:val="24"/>
          <w:szCs w:val="24"/>
        </w:rPr>
        <w:t>W 202</w:t>
      </w:r>
      <w:r w:rsidR="001966BC">
        <w:rPr>
          <w:rFonts w:ascii="Times New Roman" w:hAnsi="Times New Roman" w:cs="Times New Roman"/>
          <w:sz w:val="24"/>
          <w:szCs w:val="24"/>
        </w:rPr>
        <w:t>2</w:t>
      </w:r>
      <w:r w:rsidR="00330D26">
        <w:rPr>
          <w:rFonts w:ascii="Times New Roman" w:hAnsi="Times New Roman" w:cs="Times New Roman"/>
          <w:sz w:val="24"/>
          <w:szCs w:val="24"/>
        </w:rPr>
        <w:t xml:space="preserve"> r.</w:t>
      </w:r>
      <w:r w:rsidRPr="00B824AA">
        <w:rPr>
          <w:rFonts w:ascii="Times New Roman" w:hAnsi="Times New Roman" w:cs="Times New Roman"/>
          <w:sz w:val="24"/>
          <w:szCs w:val="24"/>
        </w:rPr>
        <w:t xml:space="preserve"> samoocen</w:t>
      </w:r>
      <w:r w:rsidR="00330D26">
        <w:rPr>
          <w:rFonts w:ascii="Times New Roman" w:hAnsi="Times New Roman" w:cs="Times New Roman"/>
          <w:sz w:val="24"/>
          <w:szCs w:val="24"/>
        </w:rPr>
        <w:t>a</w:t>
      </w:r>
      <w:r w:rsidRPr="00B824AA">
        <w:rPr>
          <w:rFonts w:ascii="Times New Roman" w:hAnsi="Times New Roman" w:cs="Times New Roman"/>
          <w:sz w:val="24"/>
          <w:szCs w:val="24"/>
        </w:rPr>
        <w:t xml:space="preserve"> stanu zdrowia Polaków </w:t>
      </w:r>
      <w:r w:rsidR="001966BC">
        <w:rPr>
          <w:rFonts w:ascii="Times New Roman" w:hAnsi="Times New Roman" w:cs="Times New Roman"/>
          <w:sz w:val="24"/>
          <w:szCs w:val="24"/>
        </w:rPr>
        <w:t xml:space="preserve">w porównaniu </w:t>
      </w:r>
      <w:r w:rsidRPr="00B824AA">
        <w:rPr>
          <w:rFonts w:ascii="Times New Roman" w:hAnsi="Times New Roman" w:cs="Times New Roman"/>
          <w:sz w:val="24"/>
          <w:szCs w:val="24"/>
        </w:rPr>
        <w:t xml:space="preserve">do mieszkańców krajów </w:t>
      </w:r>
      <w:r w:rsidR="00D9615A" w:rsidRPr="00B824AA">
        <w:rPr>
          <w:rFonts w:ascii="Times New Roman" w:hAnsi="Times New Roman" w:cs="Times New Roman"/>
          <w:sz w:val="24"/>
          <w:szCs w:val="24"/>
        </w:rPr>
        <w:t xml:space="preserve">UE 13 </w:t>
      </w:r>
      <w:r w:rsidR="009E26F7">
        <w:rPr>
          <w:rFonts w:ascii="Times New Roman" w:hAnsi="Times New Roman" w:cs="Times New Roman"/>
          <w:sz w:val="24"/>
          <w:szCs w:val="24"/>
        </w:rPr>
        <w:t xml:space="preserve">pogorszyła się o 3 </w:t>
      </w:r>
      <w:proofErr w:type="spellStart"/>
      <w:r w:rsidR="009E26F7">
        <w:rPr>
          <w:rFonts w:ascii="Times New Roman" w:hAnsi="Times New Roman" w:cs="Times New Roman"/>
          <w:sz w:val="24"/>
          <w:szCs w:val="24"/>
        </w:rPr>
        <w:t>p.p</w:t>
      </w:r>
      <w:proofErr w:type="spellEnd"/>
      <w:r w:rsidRPr="00B824AA">
        <w:rPr>
          <w:rFonts w:ascii="Times New Roman" w:hAnsi="Times New Roman" w:cs="Times New Roman"/>
          <w:sz w:val="24"/>
          <w:szCs w:val="24"/>
        </w:rPr>
        <w:t>.</w:t>
      </w:r>
    </w:p>
    <w:p w14:paraId="168DE04B" w14:textId="66573504" w:rsidR="008A2901" w:rsidRPr="00B824AA"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Trzeci wskaźnik w </w:t>
      </w:r>
      <w:r w:rsidR="00330D26">
        <w:rPr>
          <w:rFonts w:ascii="Times New Roman" w:hAnsi="Times New Roman" w:cs="Times New Roman"/>
          <w:sz w:val="24"/>
          <w:szCs w:val="24"/>
        </w:rPr>
        <w:t>wymiarze</w:t>
      </w:r>
      <w:r w:rsidRPr="00B824AA">
        <w:rPr>
          <w:rFonts w:ascii="Times New Roman" w:hAnsi="Times New Roman" w:cs="Times New Roman"/>
          <w:sz w:val="24"/>
          <w:szCs w:val="24"/>
        </w:rPr>
        <w:t xml:space="preserve"> zdrowia odnosi się do stylu życia i związany jest z odsetkiem osób w wieku 15 lub więcej lat, którzy palą papierosy. W przypadku tego wskaźnika </w:t>
      </w:r>
      <w:r w:rsidRPr="00B824AA">
        <w:rPr>
          <w:rFonts w:ascii="Times New Roman" w:hAnsi="Times New Roman" w:cs="Times New Roman"/>
          <w:sz w:val="24"/>
          <w:szCs w:val="24"/>
        </w:rPr>
        <w:lastRenderedPageBreak/>
        <w:t>obserwujemy pogorszenie, szczególnie pomiędzy 2015 i 2020 r. , kiedy luka do krajów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xml:space="preserve"> zwiększyła się z 10 do 22 procent. Zmiana ta związana jest ze zwiększeniem odsetka palaczy w porównaniu do mieszkańców krajów </w:t>
      </w:r>
      <w:r w:rsidR="00D9615A" w:rsidRPr="00B824AA">
        <w:rPr>
          <w:rFonts w:ascii="Times New Roman" w:hAnsi="Times New Roman" w:cs="Times New Roman"/>
          <w:sz w:val="24"/>
          <w:szCs w:val="24"/>
        </w:rPr>
        <w:t>UE 14</w:t>
      </w:r>
      <w:r w:rsidRPr="00B824AA">
        <w:rPr>
          <w:rFonts w:ascii="Times New Roman" w:hAnsi="Times New Roman" w:cs="Times New Roman"/>
          <w:sz w:val="24"/>
          <w:szCs w:val="24"/>
        </w:rPr>
        <w:t xml:space="preserve"> (luka wynosi 27%). Natomiast sytuacja w Polsce w porównaniu do krajów </w:t>
      </w:r>
      <w:r w:rsidR="00D9615A" w:rsidRPr="00B824AA">
        <w:rPr>
          <w:rFonts w:ascii="Times New Roman" w:hAnsi="Times New Roman" w:cs="Times New Roman"/>
          <w:sz w:val="24"/>
          <w:szCs w:val="24"/>
        </w:rPr>
        <w:t>UE 13</w:t>
      </w:r>
      <w:r w:rsidRPr="00B824AA">
        <w:rPr>
          <w:rFonts w:ascii="Times New Roman" w:hAnsi="Times New Roman" w:cs="Times New Roman"/>
          <w:sz w:val="24"/>
          <w:szCs w:val="24"/>
        </w:rPr>
        <w:t xml:space="preserve"> jest korzystniejsza – relatywnie mniej osób pali.</w:t>
      </w:r>
      <w:r w:rsidR="00C759B1">
        <w:rPr>
          <w:rFonts w:ascii="Times New Roman" w:hAnsi="Times New Roman" w:cs="Times New Roman"/>
          <w:sz w:val="24"/>
          <w:szCs w:val="24"/>
        </w:rPr>
        <w:t xml:space="preserve"> W 2022 r. wskaźnik ten w porównaniu do krajów UE 27 i UE 13 nie zmienił się, natomiast nieznacznie (o </w:t>
      </w:r>
      <w:r w:rsidR="004B695D">
        <w:rPr>
          <w:rFonts w:ascii="Times New Roman" w:hAnsi="Times New Roman" w:cs="Times New Roman"/>
          <w:sz w:val="24"/>
          <w:szCs w:val="24"/>
        </w:rPr>
        <w:t>1 punkt procentowy) wzrósł dystans do krajów UE 14.</w:t>
      </w:r>
    </w:p>
    <w:p w14:paraId="5BE254D7" w14:textId="61D960DA" w:rsidR="008A2901" w:rsidRPr="00B824AA"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Czwartym wskaźnikiem w </w:t>
      </w:r>
      <w:r w:rsidR="00330D26">
        <w:rPr>
          <w:rFonts w:ascii="Times New Roman" w:hAnsi="Times New Roman" w:cs="Times New Roman"/>
          <w:sz w:val="24"/>
          <w:szCs w:val="24"/>
        </w:rPr>
        <w:t>wymiarze</w:t>
      </w:r>
      <w:r w:rsidRPr="00B824AA">
        <w:rPr>
          <w:rFonts w:ascii="Times New Roman" w:hAnsi="Times New Roman" w:cs="Times New Roman"/>
          <w:sz w:val="24"/>
          <w:szCs w:val="24"/>
        </w:rPr>
        <w:t xml:space="preserve"> zdrowie jest liczba zgonów możliwych do uniknięcia, przez leczenie i zastosowanie interwencji medycznych lub profilaktykę </w:t>
      </w:r>
      <w:r w:rsidR="00F8095B">
        <w:rPr>
          <w:rFonts w:ascii="Times New Roman" w:hAnsi="Times New Roman" w:cs="Times New Roman"/>
          <w:sz w:val="24"/>
          <w:szCs w:val="24"/>
        </w:rPr>
        <w:t>(</w:t>
      </w:r>
      <w:r w:rsidRPr="00B824AA">
        <w:rPr>
          <w:rFonts w:ascii="Times New Roman" w:hAnsi="Times New Roman" w:cs="Times New Roman"/>
          <w:sz w:val="24"/>
          <w:szCs w:val="24"/>
        </w:rPr>
        <w:t>na 100 tys. ludności</w:t>
      </w:r>
      <w:r w:rsidR="00F8095B">
        <w:rPr>
          <w:rFonts w:ascii="Times New Roman" w:hAnsi="Times New Roman" w:cs="Times New Roman"/>
          <w:sz w:val="24"/>
          <w:szCs w:val="24"/>
        </w:rPr>
        <w:t>)</w:t>
      </w:r>
      <w:r w:rsidRPr="00B824AA">
        <w:rPr>
          <w:rFonts w:ascii="Times New Roman" w:hAnsi="Times New Roman" w:cs="Times New Roman"/>
          <w:sz w:val="24"/>
          <w:szCs w:val="24"/>
        </w:rPr>
        <w:t>. W</w:t>
      </w:r>
      <w:r w:rsidR="00330D26">
        <w:rPr>
          <w:rFonts w:ascii="Times New Roman" w:hAnsi="Times New Roman" w:cs="Times New Roman"/>
          <w:sz w:val="24"/>
          <w:szCs w:val="24"/>
        </w:rPr>
        <w:t> </w:t>
      </w:r>
      <w:r w:rsidRPr="00B824AA">
        <w:rPr>
          <w:rFonts w:ascii="Times New Roman" w:hAnsi="Times New Roman" w:cs="Times New Roman"/>
          <w:sz w:val="24"/>
          <w:szCs w:val="24"/>
        </w:rPr>
        <w:t>przypadku tego wskaźnika cząstkowego luka, która dzieli Polskę i kraje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jest najwyższa dla wszystkich wskaźników ujętych w obszarze</w:t>
      </w:r>
      <w:r w:rsidR="00F8095B">
        <w:rPr>
          <w:rFonts w:ascii="Times New Roman" w:hAnsi="Times New Roman" w:cs="Times New Roman"/>
          <w:sz w:val="24"/>
          <w:szCs w:val="24"/>
        </w:rPr>
        <w:t xml:space="preserve"> zdrowie</w:t>
      </w:r>
      <w:r w:rsidRPr="00B824AA">
        <w:rPr>
          <w:rFonts w:ascii="Times New Roman" w:hAnsi="Times New Roman" w:cs="Times New Roman"/>
          <w:sz w:val="24"/>
          <w:szCs w:val="24"/>
        </w:rPr>
        <w:t>. W relacji do krajów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xml:space="preserve"> luka w liczbie zgonów możliwych do uniknięcia wynosiła </w:t>
      </w:r>
      <w:r w:rsidR="00245BD1">
        <w:rPr>
          <w:rFonts w:ascii="Times New Roman" w:hAnsi="Times New Roman" w:cs="Times New Roman"/>
          <w:sz w:val="24"/>
          <w:szCs w:val="24"/>
        </w:rPr>
        <w:t>4</w:t>
      </w:r>
      <w:r w:rsidR="007B565E">
        <w:rPr>
          <w:rFonts w:ascii="Times New Roman" w:hAnsi="Times New Roman" w:cs="Times New Roman"/>
          <w:sz w:val="24"/>
          <w:szCs w:val="24"/>
        </w:rPr>
        <w:t>9</w:t>
      </w:r>
      <w:r w:rsidRPr="00B824AA">
        <w:rPr>
          <w:rFonts w:ascii="Times New Roman" w:hAnsi="Times New Roman" w:cs="Times New Roman"/>
          <w:sz w:val="24"/>
          <w:szCs w:val="24"/>
        </w:rPr>
        <w:t xml:space="preserve"> procent</w:t>
      </w:r>
      <w:r w:rsidR="00E56E82">
        <w:rPr>
          <w:rFonts w:ascii="Times New Roman" w:hAnsi="Times New Roman" w:cs="Times New Roman"/>
          <w:sz w:val="24"/>
          <w:szCs w:val="24"/>
        </w:rPr>
        <w:t xml:space="preserve"> w 2021 r. i pogłębiła się w porównaniu do 2020</w:t>
      </w:r>
      <w:r w:rsidR="000403F3">
        <w:rPr>
          <w:rFonts w:ascii="Times New Roman" w:hAnsi="Times New Roman" w:cs="Times New Roman"/>
          <w:sz w:val="24"/>
          <w:szCs w:val="24"/>
        </w:rPr>
        <w:t xml:space="preserve"> r. o 1</w:t>
      </w:r>
      <w:r w:rsidR="007B565E">
        <w:rPr>
          <w:rFonts w:ascii="Times New Roman" w:hAnsi="Times New Roman" w:cs="Times New Roman"/>
          <w:sz w:val="24"/>
          <w:szCs w:val="24"/>
        </w:rPr>
        <w:t>1</w:t>
      </w:r>
      <w:r w:rsidR="000403F3">
        <w:rPr>
          <w:rFonts w:ascii="Times New Roman" w:hAnsi="Times New Roman" w:cs="Times New Roman"/>
          <w:sz w:val="24"/>
          <w:szCs w:val="24"/>
        </w:rPr>
        <w:t xml:space="preserve"> punktów procentowych</w:t>
      </w:r>
      <w:r w:rsidRPr="00B824AA">
        <w:rPr>
          <w:rFonts w:ascii="Times New Roman" w:hAnsi="Times New Roman" w:cs="Times New Roman"/>
          <w:sz w:val="24"/>
          <w:szCs w:val="24"/>
        </w:rPr>
        <w:t xml:space="preserve">, a w relacji do krajów </w:t>
      </w:r>
      <w:r w:rsidR="00D9615A" w:rsidRPr="00B824AA">
        <w:rPr>
          <w:rFonts w:ascii="Times New Roman" w:hAnsi="Times New Roman" w:cs="Times New Roman"/>
          <w:sz w:val="24"/>
          <w:szCs w:val="24"/>
        </w:rPr>
        <w:t>UE 14</w:t>
      </w:r>
      <w:r w:rsidR="00E56E82">
        <w:rPr>
          <w:rFonts w:ascii="Times New Roman" w:hAnsi="Times New Roman" w:cs="Times New Roman"/>
          <w:sz w:val="24"/>
          <w:szCs w:val="24"/>
        </w:rPr>
        <w:t xml:space="preserve"> aż </w:t>
      </w:r>
      <w:r w:rsidR="007B565E">
        <w:rPr>
          <w:rFonts w:ascii="Times New Roman" w:hAnsi="Times New Roman" w:cs="Times New Roman"/>
          <w:sz w:val="24"/>
          <w:szCs w:val="24"/>
        </w:rPr>
        <w:t xml:space="preserve">luka ta wynosi aż </w:t>
      </w:r>
      <w:r w:rsidR="002135A9">
        <w:rPr>
          <w:rFonts w:ascii="Times New Roman" w:hAnsi="Times New Roman" w:cs="Times New Roman"/>
          <w:sz w:val="24"/>
          <w:szCs w:val="24"/>
        </w:rPr>
        <w:t xml:space="preserve">55 </w:t>
      </w:r>
      <w:r w:rsidR="00C276F1">
        <w:rPr>
          <w:rFonts w:ascii="Times New Roman" w:hAnsi="Times New Roman" w:cs="Times New Roman"/>
          <w:sz w:val="24"/>
          <w:szCs w:val="24"/>
        </w:rPr>
        <w:t>procent</w:t>
      </w:r>
      <w:r w:rsidRPr="00B824AA">
        <w:rPr>
          <w:rFonts w:ascii="Times New Roman" w:hAnsi="Times New Roman" w:cs="Times New Roman"/>
          <w:sz w:val="24"/>
          <w:szCs w:val="24"/>
        </w:rPr>
        <w:t xml:space="preserve">. Polska jest w relatywnie lepszej sytuacji w przypadku tego wskaźnika niż kraje </w:t>
      </w:r>
      <w:r w:rsidR="00D9615A" w:rsidRPr="00B824AA">
        <w:rPr>
          <w:rFonts w:ascii="Times New Roman" w:hAnsi="Times New Roman" w:cs="Times New Roman"/>
          <w:sz w:val="24"/>
          <w:szCs w:val="24"/>
        </w:rPr>
        <w:t>UE 13</w:t>
      </w:r>
      <w:r w:rsidRPr="00B824AA">
        <w:rPr>
          <w:rFonts w:ascii="Times New Roman" w:hAnsi="Times New Roman" w:cs="Times New Roman"/>
          <w:sz w:val="24"/>
          <w:szCs w:val="24"/>
        </w:rPr>
        <w:t>, chociaż dystans pomiędzy Polską i innymi krajami zmniejszył się od 2015 r.</w:t>
      </w:r>
    </w:p>
    <w:p w14:paraId="14DDB3C5" w14:textId="1081E0F7" w:rsidR="008A2901" w:rsidRDefault="008A2901" w:rsidP="008A2901">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Kolejne dwa wskaźniki </w:t>
      </w:r>
      <w:r w:rsidR="00CE0D42">
        <w:rPr>
          <w:rFonts w:ascii="Times New Roman" w:hAnsi="Times New Roman" w:cs="Times New Roman"/>
          <w:sz w:val="24"/>
          <w:szCs w:val="24"/>
        </w:rPr>
        <w:t xml:space="preserve">cząstkowe </w:t>
      </w:r>
      <w:r w:rsidRPr="00B824AA">
        <w:rPr>
          <w:rFonts w:ascii="Times New Roman" w:hAnsi="Times New Roman" w:cs="Times New Roman"/>
          <w:sz w:val="24"/>
          <w:szCs w:val="24"/>
        </w:rPr>
        <w:t>uwzględnione w</w:t>
      </w:r>
      <w:r w:rsidR="00D9615A" w:rsidRPr="00B824AA">
        <w:rPr>
          <w:rFonts w:ascii="Times New Roman" w:hAnsi="Times New Roman" w:cs="Times New Roman"/>
          <w:sz w:val="24"/>
          <w:szCs w:val="24"/>
        </w:rPr>
        <w:t xml:space="preserve">e wskaźniku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odnoszą się do możliwości realizacji potrzeb zdrowotnych, w zakresie opieki zdrowotnej i opieki stomatologicznej. </w:t>
      </w:r>
      <w:r w:rsidR="003E48FE">
        <w:rPr>
          <w:rFonts w:ascii="Times New Roman" w:hAnsi="Times New Roman" w:cs="Times New Roman"/>
          <w:sz w:val="24"/>
          <w:szCs w:val="24"/>
        </w:rPr>
        <w:t>Jest to</w:t>
      </w:r>
      <w:r w:rsidRPr="00B824AA">
        <w:rPr>
          <w:rFonts w:ascii="Times New Roman" w:hAnsi="Times New Roman" w:cs="Times New Roman"/>
          <w:sz w:val="24"/>
          <w:szCs w:val="24"/>
        </w:rPr>
        <w:t xml:space="preserve"> procent osób w wieku 16 lat lub więcej, które nie zrealizowały potrzeb w zakresie świadczeń opieki zdrowotnej lub opieki stomatologicznej z powodu zbyt wysokiej ceny, zbyt dużej odległości od miejsca udzielania świadczenia lub zbyt długiego okresu oczekiwania. Również w przypadku tych dwóch wskaźników, w ramach </w:t>
      </w:r>
      <w:r w:rsidR="00347300">
        <w:rPr>
          <w:rFonts w:ascii="Times New Roman" w:hAnsi="Times New Roman" w:cs="Times New Roman"/>
          <w:sz w:val="24"/>
          <w:szCs w:val="24"/>
        </w:rPr>
        <w:t xml:space="preserve">wskaźnika </w:t>
      </w:r>
      <w:proofErr w:type="spellStart"/>
      <w:r w:rsidR="00347300">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uwzględniony jest </w:t>
      </w:r>
      <w:r w:rsidR="00347300">
        <w:rPr>
          <w:rFonts w:ascii="Times New Roman" w:hAnsi="Times New Roman" w:cs="Times New Roman"/>
          <w:sz w:val="24"/>
          <w:szCs w:val="24"/>
        </w:rPr>
        <w:t>zakres</w:t>
      </w:r>
      <w:r w:rsidRPr="00B824AA">
        <w:rPr>
          <w:rFonts w:ascii="Times New Roman" w:hAnsi="Times New Roman" w:cs="Times New Roman"/>
          <w:sz w:val="24"/>
          <w:szCs w:val="24"/>
        </w:rPr>
        <w:t>, w jakim potrzeby te są zaspokojone. W przypadku opieki zdrowotnej, skala realizacji potrzeb Polaków</w:t>
      </w:r>
      <w:r w:rsidR="00540BE4">
        <w:rPr>
          <w:rFonts w:ascii="Times New Roman" w:hAnsi="Times New Roman" w:cs="Times New Roman"/>
          <w:sz w:val="24"/>
          <w:szCs w:val="24"/>
        </w:rPr>
        <w:t xml:space="preserve"> w 2022 r.</w:t>
      </w:r>
      <w:r w:rsidRPr="00B824AA">
        <w:rPr>
          <w:rFonts w:ascii="Times New Roman" w:hAnsi="Times New Roman" w:cs="Times New Roman"/>
          <w:sz w:val="24"/>
          <w:szCs w:val="24"/>
        </w:rPr>
        <w:t xml:space="preserve"> </w:t>
      </w:r>
      <w:r w:rsidR="00540BE4">
        <w:rPr>
          <w:rFonts w:ascii="Times New Roman" w:hAnsi="Times New Roman" w:cs="Times New Roman"/>
          <w:sz w:val="24"/>
          <w:szCs w:val="24"/>
        </w:rPr>
        <w:t>była</w:t>
      </w:r>
      <w:r w:rsidRPr="00B824AA">
        <w:rPr>
          <w:rFonts w:ascii="Times New Roman" w:hAnsi="Times New Roman" w:cs="Times New Roman"/>
          <w:sz w:val="24"/>
          <w:szCs w:val="24"/>
        </w:rPr>
        <w:t xml:space="preserve"> </w:t>
      </w:r>
      <w:r w:rsidR="00540BE4">
        <w:rPr>
          <w:rFonts w:ascii="Times New Roman" w:hAnsi="Times New Roman" w:cs="Times New Roman"/>
          <w:sz w:val="24"/>
          <w:szCs w:val="24"/>
        </w:rPr>
        <w:t>taka sama jak</w:t>
      </w:r>
      <w:r w:rsidRPr="00B824AA">
        <w:rPr>
          <w:rFonts w:ascii="Times New Roman" w:hAnsi="Times New Roman" w:cs="Times New Roman"/>
          <w:sz w:val="24"/>
          <w:szCs w:val="24"/>
        </w:rPr>
        <w:t xml:space="preserve"> w krajach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xml:space="preserve"> (</w:t>
      </w:r>
      <w:r w:rsidR="00540BE4">
        <w:rPr>
          <w:rFonts w:ascii="Times New Roman" w:hAnsi="Times New Roman" w:cs="Times New Roman"/>
          <w:sz w:val="24"/>
          <w:szCs w:val="24"/>
        </w:rPr>
        <w:t>100</w:t>
      </w:r>
      <w:r w:rsidRPr="00B824AA">
        <w:rPr>
          <w:rFonts w:ascii="Times New Roman" w:hAnsi="Times New Roman" w:cs="Times New Roman"/>
          <w:sz w:val="24"/>
          <w:szCs w:val="24"/>
        </w:rPr>
        <w:t xml:space="preserve"> procent), nie występują również różnice w przypadku porównania do </w:t>
      </w:r>
      <w:r w:rsidR="00540BE4">
        <w:rPr>
          <w:rFonts w:ascii="Times New Roman" w:hAnsi="Times New Roman" w:cs="Times New Roman"/>
          <w:sz w:val="24"/>
          <w:szCs w:val="24"/>
        </w:rPr>
        <w:t xml:space="preserve">grup krajów </w:t>
      </w:r>
      <w:r w:rsidR="00D9615A" w:rsidRPr="00B824AA">
        <w:rPr>
          <w:rFonts w:ascii="Times New Roman" w:hAnsi="Times New Roman" w:cs="Times New Roman"/>
          <w:sz w:val="24"/>
          <w:szCs w:val="24"/>
        </w:rPr>
        <w:t>UE 14 i UE 13</w:t>
      </w:r>
      <w:r w:rsidRPr="00B824AA">
        <w:rPr>
          <w:rFonts w:ascii="Times New Roman" w:hAnsi="Times New Roman" w:cs="Times New Roman"/>
          <w:sz w:val="24"/>
          <w:szCs w:val="24"/>
        </w:rPr>
        <w:t>. Sytuacja w 202</w:t>
      </w:r>
      <w:r w:rsidR="00762900">
        <w:rPr>
          <w:rFonts w:ascii="Times New Roman" w:hAnsi="Times New Roman" w:cs="Times New Roman"/>
          <w:sz w:val="24"/>
          <w:szCs w:val="24"/>
        </w:rPr>
        <w:t>2</w:t>
      </w:r>
      <w:r w:rsidRPr="00B824AA">
        <w:rPr>
          <w:rFonts w:ascii="Times New Roman" w:hAnsi="Times New Roman" w:cs="Times New Roman"/>
          <w:sz w:val="24"/>
          <w:szCs w:val="24"/>
        </w:rPr>
        <w:t xml:space="preserve"> r. poprawiła się w porównaniu do 2010 r. (wzrost o </w:t>
      </w:r>
      <w:r w:rsidR="00762900">
        <w:rPr>
          <w:rFonts w:ascii="Times New Roman" w:hAnsi="Times New Roman" w:cs="Times New Roman"/>
          <w:sz w:val="24"/>
          <w:szCs w:val="24"/>
        </w:rPr>
        <w:t>5</w:t>
      </w:r>
      <w:r w:rsidRPr="00B824AA">
        <w:rPr>
          <w:rFonts w:ascii="Times New Roman" w:hAnsi="Times New Roman" w:cs="Times New Roman"/>
          <w:sz w:val="24"/>
          <w:szCs w:val="24"/>
        </w:rPr>
        <w:t xml:space="preserve"> punkt</w:t>
      </w:r>
      <w:r w:rsidR="00762900">
        <w:rPr>
          <w:rFonts w:ascii="Times New Roman" w:hAnsi="Times New Roman" w:cs="Times New Roman"/>
          <w:sz w:val="24"/>
          <w:szCs w:val="24"/>
        </w:rPr>
        <w:t>ów</w:t>
      </w:r>
      <w:r w:rsidRPr="00B824AA">
        <w:rPr>
          <w:rFonts w:ascii="Times New Roman" w:hAnsi="Times New Roman" w:cs="Times New Roman"/>
          <w:sz w:val="24"/>
          <w:szCs w:val="24"/>
        </w:rPr>
        <w:t xml:space="preserve"> procentowe w odniesieni do krajów UE 2</w:t>
      </w:r>
      <w:r w:rsidR="00D9615A" w:rsidRPr="00B824AA">
        <w:rPr>
          <w:rFonts w:ascii="Times New Roman" w:hAnsi="Times New Roman" w:cs="Times New Roman"/>
          <w:sz w:val="24"/>
          <w:szCs w:val="24"/>
        </w:rPr>
        <w:t>7</w:t>
      </w:r>
      <w:r w:rsidRPr="00B824AA">
        <w:rPr>
          <w:rFonts w:ascii="Times New Roman" w:hAnsi="Times New Roman" w:cs="Times New Roman"/>
          <w:sz w:val="24"/>
          <w:szCs w:val="24"/>
        </w:rPr>
        <w:t xml:space="preserve">). W zakresie opieki stomatologicznej również potrzeby Polaków </w:t>
      </w:r>
      <w:r w:rsidR="00762900">
        <w:rPr>
          <w:rFonts w:ascii="Times New Roman" w:hAnsi="Times New Roman" w:cs="Times New Roman"/>
          <w:sz w:val="24"/>
          <w:szCs w:val="24"/>
        </w:rPr>
        <w:t>w 2022 r. były</w:t>
      </w:r>
      <w:r w:rsidRPr="00B824AA">
        <w:rPr>
          <w:rFonts w:ascii="Times New Roman" w:hAnsi="Times New Roman" w:cs="Times New Roman"/>
          <w:sz w:val="24"/>
          <w:szCs w:val="24"/>
        </w:rPr>
        <w:t xml:space="preserve"> zaspokojone w większym stopniu niż w krajach UE 2</w:t>
      </w:r>
      <w:r w:rsidR="00762900">
        <w:rPr>
          <w:rFonts w:ascii="Times New Roman" w:hAnsi="Times New Roman" w:cs="Times New Roman"/>
          <w:sz w:val="24"/>
          <w:szCs w:val="24"/>
        </w:rPr>
        <w:t>7</w:t>
      </w:r>
      <w:r w:rsidRPr="00B824AA">
        <w:rPr>
          <w:rFonts w:ascii="Times New Roman" w:hAnsi="Times New Roman" w:cs="Times New Roman"/>
          <w:sz w:val="24"/>
          <w:szCs w:val="24"/>
        </w:rPr>
        <w:t xml:space="preserve">. Dotyczy to </w:t>
      </w:r>
      <w:r w:rsidR="00D9615A" w:rsidRPr="00B824AA">
        <w:rPr>
          <w:rFonts w:ascii="Times New Roman" w:hAnsi="Times New Roman" w:cs="Times New Roman"/>
          <w:sz w:val="24"/>
          <w:szCs w:val="24"/>
        </w:rPr>
        <w:t>także grup krajów UE 14 i UE 13.</w:t>
      </w:r>
    </w:p>
    <w:p w14:paraId="5A89925D" w14:textId="63C4F345" w:rsidR="008A2901" w:rsidRPr="00B824AA" w:rsidRDefault="00D9615A" w:rsidP="00D9615A">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6</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Zdrowie w latach 2010, 2015, 2020</w:t>
      </w:r>
      <w:r w:rsidR="00B1186C">
        <w:rPr>
          <w:rFonts w:ascii="Times New Roman" w:hAnsi="Times New Roman" w:cs="Times New Roman"/>
          <w:sz w:val="22"/>
          <w:szCs w:val="22"/>
        </w:rPr>
        <w:t xml:space="preserve">, </w:t>
      </w:r>
      <w:r w:rsidRPr="00B824AA">
        <w:rPr>
          <w:rFonts w:ascii="Times New Roman" w:hAnsi="Times New Roman" w:cs="Times New Roman"/>
          <w:sz w:val="22"/>
          <w:szCs w:val="22"/>
        </w:rPr>
        <w:t>2021</w:t>
      </w:r>
      <w:r w:rsidR="00B1186C">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8A2901" w:rsidRPr="00B824AA" w14:paraId="541582CE" w14:textId="77777777" w:rsidTr="005105E9">
        <w:trPr>
          <w:trHeight w:val="367"/>
          <w:tblHeader/>
        </w:trPr>
        <w:tc>
          <w:tcPr>
            <w:tcW w:w="2551" w:type="dxa"/>
            <w:vMerge w:val="restart"/>
            <w:vAlign w:val="center"/>
          </w:tcPr>
          <w:p w14:paraId="6AC0EA07" w14:textId="093AA378" w:rsidR="008A2901" w:rsidRPr="00B824AA" w:rsidRDefault="00D9615A" w:rsidP="00CC3BD8">
            <w:pPr>
              <w:jc w:val="center"/>
              <w:rPr>
                <w:rFonts w:ascii="Times New Roman" w:hAnsi="Times New Roman" w:cs="Times New Roman"/>
                <w:b/>
                <w:bCs/>
              </w:rPr>
            </w:pPr>
            <w:r w:rsidRPr="00B824AA">
              <w:rPr>
                <w:rFonts w:ascii="Times New Roman" w:hAnsi="Times New Roman" w:cs="Times New Roman"/>
                <w:b/>
                <w:bCs/>
              </w:rPr>
              <w:t>Wymiar</w:t>
            </w:r>
            <w:r w:rsidR="008A2901" w:rsidRPr="00B824AA">
              <w:rPr>
                <w:rFonts w:ascii="Times New Roman" w:hAnsi="Times New Roman" w:cs="Times New Roman"/>
                <w:b/>
                <w:bCs/>
              </w:rPr>
              <w:t xml:space="preserve"> i wskaźniki cząstkowe oraz lata</w:t>
            </w:r>
          </w:p>
        </w:tc>
        <w:tc>
          <w:tcPr>
            <w:tcW w:w="6462" w:type="dxa"/>
            <w:gridSpan w:val="3"/>
            <w:vAlign w:val="center"/>
          </w:tcPr>
          <w:p w14:paraId="05DEEC22" w14:textId="1FE8C5EA" w:rsidR="008A2901" w:rsidRPr="00B824AA" w:rsidRDefault="008A2901" w:rsidP="00CC3BD8">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rPr>
              <w:t>catch-up</w:t>
            </w:r>
            <w:proofErr w:type="spellEnd"/>
            <w:r w:rsidRPr="00B824AA">
              <w:rPr>
                <w:rFonts w:ascii="Times New Roman" w:hAnsi="Times New Roman" w:cs="Times New Roman"/>
                <w:b/>
                <w:bCs/>
              </w:rPr>
              <w:t xml:space="preserve"> w  %</w:t>
            </w:r>
          </w:p>
        </w:tc>
      </w:tr>
      <w:tr w:rsidR="00BD51D8" w:rsidRPr="00B824AA" w14:paraId="385EE18A" w14:textId="77777777" w:rsidTr="005105E9">
        <w:trPr>
          <w:trHeight w:val="399"/>
          <w:tblHeader/>
        </w:trPr>
        <w:tc>
          <w:tcPr>
            <w:tcW w:w="2551" w:type="dxa"/>
            <w:vMerge/>
            <w:vAlign w:val="center"/>
          </w:tcPr>
          <w:p w14:paraId="58480A5A" w14:textId="77777777" w:rsidR="00BD51D8" w:rsidRPr="00B824AA" w:rsidRDefault="00BD51D8" w:rsidP="00BD51D8">
            <w:pPr>
              <w:jc w:val="center"/>
              <w:rPr>
                <w:rFonts w:ascii="Times New Roman" w:hAnsi="Times New Roman" w:cs="Times New Roman"/>
                <w:b/>
                <w:bCs/>
              </w:rPr>
            </w:pPr>
          </w:p>
        </w:tc>
        <w:tc>
          <w:tcPr>
            <w:tcW w:w="2154" w:type="dxa"/>
            <w:vAlign w:val="center"/>
          </w:tcPr>
          <w:p w14:paraId="5EC1FFA7" w14:textId="61FE0524" w:rsidR="00BD51D8" w:rsidRPr="00B824AA" w:rsidRDefault="00BD51D8" w:rsidP="00BD51D8">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vAlign w:val="center"/>
          </w:tcPr>
          <w:p w14:paraId="53798528" w14:textId="6068BF84" w:rsidR="00BD51D8" w:rsidRPr="00B824AA" w:rsidRDefault="00BD51D8" w:rsidP="00BD51D8">
            <w:pPr>
              <w:jc w:val="center"/>
              <w:rPr>
                <w:rFonts w:ascii="Times New Roman" w:hAnsi="Times New Roman" w:cs="Times New Roman"/>
                <w:b/>
                <w:bCs/>
              </w:rPr>
            </w:pPr>
            <w:r w:rsidRPr="00B824AA">
              <w:rPr>
                <w:rFonts w:ascii="Times New Roman" w:hAnsi="Times New Roman" w:cs="Times New Roman"/>
                <w:b/>
                <w:bCs/>
              </w:rPr>
              <w:t>Polska – UE 14</w:t>
            </w:r>
          </w:p>
        </w:tc>
        <w:tc>
          <w:tcPr>
            <w:tcW w:w="2154" w:type="dxa"/>
            <w:vAlign w:val="center"/>
          </w:tcPr>
          <w:p w14:paraId="77F6210D" w14:textId="5A48C215" w:rsidR="00BD51D8" w:rsidRPr="00B824AA" w:rsidRDefault="00BD51D8" w:rsidP="00BD51D8">
            <w:pPr>
              <w:jc w:val="center"/>
              <w:rPr>
                <w:rFonts w:ascii="Times New Roman" w:hAnsi="Times New Roman" w:cs="Times New Roman"/>
                <w:b/>
                <w:bCs/>
              </w:rPr>
            </w:pPr>
            <w:r w:rsidRPr="00B824AA">
              <w:rPr>
                <w:rFonts w:ascii="Times New Roman" w:hAnsi="Times New Roman" w:cs="Times New Roman"/>
                <w:b/>
                <w:bCs/>
              </w:rPr>
              <w:t>Polska – UE 13</w:t>
            </w:r>
          </w:p>
        </w:tc>
      </w:tr>
      <w:tr w:rsidR="008A2901" w:rsidRPr="00B824AA" w14:paraId="3F76C8BF" w14:textId="77777777" w:rsidTr="00D9615A">
        <w:trPr>
          <w:trHeight w:val="322"/>
        </w:trPr>
        <w:tc>
          <w:tcPr>
            <w:tcW w:w="2551" w:type="dxa"/>
            <w:tcBorders>
              <w:bottom w:val="nil"/>
            </w:tcBorders>
            <w:vAlign w:val="center"/>
          </w:tcPr>
          <w:p w14:paraId="2AFF41AD" w14:textId="77777777" w:rsidR="008A2901" w:rsidRPr="00B824AA" w:rsidRDefault="008A2901" w:rsidP="00CC3BD8">
            <w:pPr>
              <w:ind w:left="316"/>
              <w:rPr>
                <w:rFonts w:ascii="Times New Roman" w:hAnsi="Times New Roman" w:cs="Times New Roman"/>
                <w:b/>
                <w:bCs/>
              </w:rPr>
            </w:pPr>
            <w:r w:rsidRPr="00B824AA">
              <w:rPr>
                <w:rFonts w:ascii="Times New Roman" w:hAnsi="Times New Roman" w:cs="Times New Roman"/>
                <w:b/>
                <w:bCs/>
                <w:color w:val="000000"/>
              </w:rPr>
              <w:t>Zdrowie</w:t>
            </w:r>
          </w:p>
        </w:tc>
        <w:tc>
          <w:tcPr>
            <w:tcW w:w="2154" w:type="dxa"/>
            <w:tcBorders>
              <w:bottom w:val="nil"/>
            </w:tcBorders>
          </w:tcPr>
          <w:p w14:paraId="1D875BD2" w14:textId="77777777" w:rsidR="008A2901" w:rsidRPr="00B824AA" w:rsidRDefault="008A2901" w:rsidP="00CC3BD8">
            <w:pPr>
              <w:tabs>
                <w:tab w:val="decimal" w:pos="1135"/>
              </w:tabs>
              <w:rPr>
                <w:rFonts w:ascii="Times New Roman" w:hAnsi="Times New Roman" w:cs="Times New Roman"/>
                <w:b/>
                <w:bCs/>
              </w:rPr>
            </w:pPr>
          </w:p>
        </w:tc>
        <w:tc>
          <w:tcPr>
            <w:tcW w:w="2154" w:type="dxa"/>
            <w:tcBorders>
              <w:bottom w:val="nil"/>
            </w:tcBorders>
          </w:tcPr>
          <w:p w14:paraId="6CDA5630" w14:textId="77777777" w:rsidR="008A2901" w:rsidRPr="00B824AA" w:rsidRDefault="008A2901" w:rsidP="00CC3BD8">
            <w:pPr>
              <w:tabs>
                <w:tab w:val="decimal" w:pos="1107"/>
              </w:tabs>
              <w:rPr>
                <w:rFonts w:ascii="Times New Roman" w:hAnsi="Times New Roman" w:cs="Times New Roman"/>
                <w:b/>
                <w:bCs/>
              </w:rPr>
            </w:pPr>
          </w:p>
        </w:tc>
        <w:tc>
          <w:tcPr>
            <w:tcW w:w="2154" w:type="dxa"/>
            <w:tcBorders>
              <w:bottom w:val="nil"/>
            </w:tcBorders>
          </w:tcPr>
          <w:p w14:paraId="0F29538C" w14:textId="77777777" w:rsidR="008A2901" w:rsidRPr="00B824AA" w:rsidRDefault="008A2901" w:rsidP="00CC3BD8">
            <w:pPr>
              <w:tabs>
                <w:tab w:val="decimal" w:pos="1221"/>
              </w:tabs>
              <w:rPr>
                <w:rFonts w:ascii="Times New Roman" w:hAnsi="Times New Roman" w:cs="Times New Roman"/>
                <w:b/>
                <w:bCs/>
              </w:rPr>
            </w:pPr>
          </w:p>
        </w:tc>
      </w:tr>
      <w:tr w:rsidR="00206B34" w:rsidRPr="00B824AA" w14:paraId="3662B557" w14:textId="77777777" w:rsidTr="00866620">
        <w:tc>
          <w:tcPr>
            <w:tcW w:w="2551" w:type="dxa"/>
            <w:tcBorders>
              <w:top w:val="nil"/>
              <w:bottom w:val="nil"/>
            </w:tcBorders>
            <w:vAlign w:val="center"/>
          </w:tcPr>
          <w:p w14:paraId="4B002BA4" w14:textId="77777777" w:rsidR="00206B34" w:rsidRPr="00B824AA" w:rsidRDefault="00206B34" w:rsidP="008E6A37">
            <w:pPr>
              <w:ind w:left="316"/>
              <w:rPr>
                <w:rFonts w:ascii="Times New Roman" w:hAnsi="Times New Roman" w:cs="Times New Roman"/>
                <w:b/>
                <w:bCs/>
              </w:rPr>
            </w:pPr>
            <w:r w:rsidRPr="00B824AA">
              <w:rPr>
                <w:rFonts w:ascii="Times New Roman" w:hAnsi="Times New Roman" w:cs="Times New Roman"/>
                <w:b/>
                <w:bCs/>
                <w:color w:val="000000"/>
              </w:rPr>
              <w:t>2010</w:t>
            </w:r>
          </w:p>
        </w:tc>
        <w:tc>
          <w:tcPr>
            <w:tcW w:w="2154" w:type="dxa"/>
            <w:tcBorders>
              <w:top w:val="nil"/>
              <w:bottom w:val="nil"/>
            </w:tcBorders>
          </w:tcPr>
          <w:p w14:paraId="60970DC4" w14:textId="15B897B6" w:rsidR="00206B34" w:rsidRPr="00206B34" w:rsidRDefault="00206B34" w:rsidP="008E6A37">
            <w:pPr>
              <w:tabs>
                <w:tab w:val="decimal" w:pos="1135"/>
              </w:tabs>
              <w:rPr>
                <w:rFonts w:ascii="Times New Roman" w:hAnsi="Times New Roman" w:cs="Times New Roman"/>
                <w:b/>
                <w:bCs/>
              </w:rPr>
            </w:pPr>
            <w:r w:rsidRPr="00206B34">
              <w:rPr>
                <w:rFonts w:ascii="Times New Roman" w:hAnsi="Times New Roman" w:cs="Times New Roman"/>
                <w:b/>
              </w:rPr>
              <w:t>88</w:t>
            </w:r>
          </w:p>
        </w:tc>
        <w:tc>
          <w:tcPr>
            <w:tcW w:w="2154" w:type="dxa"/>
            <w:tcBorders>
              <w:top w:val="nil"/>
              <w:bottom w:val="nil"/>
            </w:tcBorders>
          </w:tcPr>
          <w:p w14:paraId="1DF7F438" w14:textId="697B152F" w:rsidR="00206B34" w:rsidRPr="00206B34" w:rsidRDefault="00206B34" w:rsidP="008E6A37">
            <w:pPr>
              <w:tabs>
                <w:tab w:val="decimal" w:pos="1107"/>
              </w:tabs>
              <w:rPr>
                <w:rFonts w:ascii="Times New Roman" w:hAnsi="Times New Roman" w:cs="Times New Roman"/>
                <w:b/>
                <w:bCs/>
              </w:rPr>
            </w:pPr>
            <w:r w:rsidRPr="00206B34">
              <w:rPr>
                <w:rFonts w:ascii="Times New Roman" w:hAnsi="Times New Roman" w:cs="Times New Roman"/>
                <w:b/>
              </w:rPr>
              <w:t>85</w:t>
            </w:r>
          </w:p>
        </w:tc>
        <w:tc>
          <w:tcPr>
            <w:tcW w:w="2154" w:type="dxa"/>
            <w:tcBorders>
              <w:top w:val="nil"/>
              <w:bottom w:val="nil"/>
            </w:tcBorders>
          </w:tcPr>
          <w:p w14:paraId="4C60BDEB" w14:textId="463450D1" w:rsidR="00206B34" w:rsidRPr="00206B34" w:rsidRDefault="00206B34" w:rsidP="008E6A37">
            <w:pPr>
              <w:tabs>
                <w:tab w:val="decimal" w:pos="1221"/>
              </w:tabs>
              <w:rPr>
                <w:rFonts w:ascii="Times New Roman" w:hAnsi="Times New Roman" w:cs="Times New Roman"/>
                <w:b/>
                <w:bCs/>
              </w:rPr>
            </w:pPr>
            <w:r w:rsidRPr="00206B34">
              <w:rPr>
                <w:rFonts w:ascii="Times New Roman" w:hAnsi="Times New Roman" w:cs="Times New Roman"/>
                <w:b/>
              </w:rPr>
              <w:t>100</w:t>
            </w:r>
          </w:p>
        </w:tc>
      </w:tr>
      <w:tr w:rsidR="00206B34" w:rsidRPr="00B824AA" w14:paraId="1C3F0415" w14:textId="77777777" w:rsidTr="00866620">
        <w:tc>
          <w:tcPr>
            <w:tcW w:w="2551" w:type="dxa"/>
            <w:tcBorders>
              <w:top w:val="nil"/>
              <w:bottom w:val="nil"/>
            </w:tcBorders>
            <w:vAlign w:val="center"/>
          </w:tcPr>
          <w:p w14:paraId="03D3A3B3" w14:textId="77777777" w:rsidR="00206B34" w:rsidRPr="00B824AA" w:rsidRDefault="00206B34" w:rsidP="008E6A37">
            <w:pPr>
              <w:ind w:left="316"/>
              <w:rPr>
                <w:rFonts w:ascii="Times New Roman" w:hAnsi="Times New Roman" w:cs="Times New Roman"/>
                <w:b/>
                <w:bCs/>
              </w:rPr>
            </w:pPr>
            <w:r w:rsidRPr="00B824AA">
              <w:rPr>
                <w:rFonts w:ascii="Times New Roman" w:hAnsi="Times New Roman" w:cs="Times New Roman"/>
                <w:b/>
                <w:bCs/>
                <w:color w:val="000000"/>
              </w:rPr>
              <w:t>2015</w:t>
            </w:r>
          </w:p>
        </w:tc>
        <w:tc>
          <w:tcPr>
            <w:tcW w:w="2154" w:type="dxa"/>
            <w:tcBorders>
              <w:top w:val="nil"/>
              <w:bottom w:val="nil"/>
            </w:tcBorders>
          </w:tcPr>
          <w:p w14:paraId="693BBC61" w14:textId="7952A1FF" w:rsidR="00206B34" w:rsidRPr="00206B34" w:rsidRDefault="00206B34" w:rsidP="008E6A37">
            <w:pPr>
              <w:tabs>
                <w:tab w:val="decimal" w:pos="1135"/>
              </w:tabs>
              <w:rPr>
                <w:rFonts w:ascii="Times New Roman" w:hAnsi="Times New Roman" w:cs="Times New Roman"/>
                <w:b/>
                <w:bCs/>
              </w:rPr>
            </w:pPr>
            <w:r w:rsidRPr="00206B34">
              <w:rPr>
                <w:rFonts w:ascii="Times New Roman" w:hAnsi="Times New Roman" w:cs="Times New Roman"/>
                <w:b/>
              </w:rPr>
              <w:t>89</w:t>
            </w:r>
          </w:p>
        </w:tc>
        <w:tc>
          <w:tcPr>
            <w:tcW w:w="2154" w:type="dxa"/>
            <w:tcBorders>
              <w:top w:val="nil"/>
              <w:bottom w:val="nil"/>
            </w:tcBorders>
          </w:tcPr>
          <w:p w14:paraId="33B6B17A" w14:textId="7988E544" w:rsidR="00206B34" w:rsidRPr="00206B34" w:rsidRDefault="00206B34" w:rsidP="008E6A37">
            <w:pPr>
              <w:tabs>
                <w:tab w:val="decimal" w:pos="1107"/>
              </w:tabs>
              <w:rPr>
                <w:rFonts w:ascii="Times New Roman" w:hAnsi="Times New Roman" w:cs="Times New Roman"/>
                <w:b/>
                <w:bCs/>
              </w:rPr>
            </w:pPr>
            <w:r w:rsidRPr="00206B34">
              <w:rPr>
                <w:rFonts w:ascii="Times New Roman" w:hAnsi="Times New Roman" w:cs="Times New Roman"/>
                <w:b/>
              </w:rPr>
              <w:t>87</w:t>
            </w:r>
          </w:p>
        </w:tc>
        <w:tc>
          <w:tcPr>
            <w:tcW w:w="2154" w:type="dxa"/>
            <w:tcBorders>
              <w:top w:val="nil"/>
              <w:bottom w:val="nil"/>
            </w:tcBorders>
          </w:tcPr>
          <w:p w14:paraId="02C35FCE" w14:textId="390178CB" w:rsidR="00206B34" w:rsidRPr="00206B34" w:rsidRDefault="00206B34" w:rsidP="008E6A37">
            <w:pPr>
              <w:tabs>
                <w:tab w:val="decimal" w:pos="1221"/>
              </w:tabs>
              <w:rPr>
                <w:rFonts w:ascii="Times New Roman" w:hAnsi="Times New Roman" w:cs="Times New Roman"/>
                <w:b/>
                <w:bCs/>
              </w:rPr>
            </w:pPr>
            <w:r w:rsidRPr="00206B34">
              <w:rPr>
                <w:rFonts w:ascii="Times New Roman" w:hAnsi="Times New Roman" w:cs="Times New Roman"/>
                <w:b/>
              </w:rPr>
              <w:t>101</w:t>
            </w:r>
          </w:p>
        </w:tc>
      </w:tr>
      <w:tr w:rsidR="00206B34" w:rsidRPr="00B824AA" w14:paraId="0C7061B6" w14:textId="77777777" w:rsidTr="00866620">
        <w:tc>
          <w:tcPr>
            <w:tcW w:w="2551" w:type="dxa"/>
            <w:tcBorders>
              <w:top w:val="nil"/>
              <w:bottom w:val="nil"/>
            </w:tcBorders>
            <w:vAlign w:val="center"/>
          </w:tcPr>
          <w:p w14:paraId="388C4D7B" w14:textId="77777777" w:rsidR="00206B34" w:rsidRPr="00B824AA" w:rsidRDefault="00206B34" w:rsidP="008E6A37">
            <w:pPr>
              <w:ind w:left="316"/>
              <w:rPr>
                <w:rFonts w:ascii="Times New Roman" w:hAnsi="Times New Roman" w:cs="Times New Roman"/>
                <w:b/>
                <w:bCs/>
              </w:rPr>
            </w:pPr>
            <w:r w:rsidRPr="00B824AA">
              <w:rPr>
                <w:rFonts w:ascii="Times New Roman" w:hAnsi="Times New Roman" w:cs="Times New Roman"/>
                <w:b/>
                <w:bCs/>
                <w:color w:val="000000"/>
              </w:rPr>
              <w:t>2020</w:t>
            </w:r>
          </w:p>
        </w:tc>
        <w:tc>
          <w:tcPr>
            <w:tcW w:w="2154" w:type="dxa"/>
            <w:tcBorders>
              <w:top w:val="nil"/>
              <w:bottom w:val="nil"/>
            </w:tcBorders>
          </w:tcPr>
          <w:p w14:paraId="79854CD5" w14:textId="432F53D0" w:rsidR="00206B34" w:rsidRPr="00206B34" w:rsidRDefault="00206B34" w:rsidP="008E6A37">
            <w:pPr>
              <w:tabs>
                <w:tab w:val="decimal" w:pos="1135"/>
              </w:tabs>
              <w:rPr>
                <w:rFonts w:ascii="Times New Roman" w:hAnsi="Times New Roman" w:cs="Times New Roman"/>
                <w:b/>
                <w:bCs/>
              </w:rPr>
            </w:pPr>
            <w:r w:rsidRPr="00206B34">
              <w:rPr>
                <w:rFonts w:ascii="Times New Roman" w:hAnsi="Times New Roman" w:cs="Times New Roman"/>
                <w:b/>
              </w:rPr>
              <w:t>88</w:t>
            </w:r>
          </w:p>
        </w:tc>
        <w:tc>
          <w:tcPr>
            <w:tcW w:w="2154" w:type="dxa"/>
            <w:tcBorders>
              <w:top w:val="nil"/>
              <w:bottom w:val="nil"/>
            </w:tcBorders>
          </w:tcPr>
          <w:p w14:paraId="09E18FD4" w14:textId="22D97F7A" w:rsidR="00206B34" w:rsidRPr="00206B34" w:rsidRDefault="00206B34" w:rsidP="008E6A37">
            <w:pPr>
              <w:tabs>
                <w:tab w:val="decimal" w:pos="1107"/>
              </w:tabs>
              <w:rPr>
                <w:rFonts w:ascii="Times New Roman" w:hAnsi="Times New Roman" w:cs="Times New Roman"/>
                <w:b/>
                <w:bCs/>
              </w:rPr>
            </w:pPr>
            <w:r w:rsidRPr="00206B34">
              <w:rPr>
                <w:rFonts w:ascii="Times New Roman" w:hAnsi="Times New Roman" w:cs="Times New Roman"/>
                <w:b/>
              </w:rPr>
              <w:t>85</w:t>
            </w:r>
          </w:p>
        </w:tc>
        <w:tc>
          <w:tcPr>
            <w:tcW w:w="2154" w:type="dxa"/>
            <w:tcBorders>
              <w:top w:val="nil"/>
              <w:bottom w:val="nil"/>
            </w:tcBorders>
          </w:tcPr>
          <w:p w14:paraId="2D5762A7" w14:textId="4172500C" w:rsidR="00206B34" w:rsidRPr="00206B34" w:rsidRDefault="00206B34" w:rsidP="008E6A37">
            <w:pPr>
              <w:tabs>
                <w:tab w:val="decimal" w:pos="1221"/>
              </w:tabs>
              <w:rPr>
                <w:rFonts w:ascii="Times New Roman" w:hAnsi="Times New Roman" w:cs="Times New Roman"/>
                <w:b/>
                <w:bCs/>
              </w:rPr>
            </w:pPr>
            <w:r w:rsidRPr="00206B34">
              <w:rPr>
                <w:rFonts w:ascii="Times New Roman" w:hAnsi="Times New Roman" w:cs="Times New Roman"/>
                <w:b/>
              </w:rPr>
              <w:t>103</w:t>
            </w:r>
          </w:p>
        </w:tc>
      </w:tr>
      <w:tr w:rsidR="00206B34" w:rsidRPr="00B824AA" w14:paraId="0F86A60D" w14:textId="77777777" w:rsidTr="00866620">
        <w:tc>
          <w:tcPr>
            <w:tcW w:w="2551" w:type="dxa"/>
            <w:tcBorders>
              <w:top w:val="nil"/>
              <w:bottom w:val="nil"/>
            </w:tcBorders>
            <w:vAlign w:val="center"/>
          </w:tcPr>
          <w:p w14:paraId="1D32C4C3" w14:textId="0EEBB2CE" w:rsidR="00206B34" w:rsidRPr="00B824AA" w:rsidRDefault="00206B34" w:rsidP="008E6A37">
            <w:pPr>
              <w:ind w:left="316"/>
              <w:rPr>
                <w:rFonts w:ascii="Times New Roman" w:hAnsi="Times New Roman" w:cs="Times New Roman"/>
                <w:b/>
                <w:bCs/>
                <w:color w:val="000000"/>
              </w:rPr>
            </w:pPr>
            <w:r w:rsidRPr="00B824AA">
              <w:rPr>
                <w:rFonts w:ascii="Times New Roman" w:hAnsi="Times New Roman" w:cs="Times New Roman"/>
                <w:b/>
                <w:bCs/>
                <w:color w:val="000000"/>
              </w:rPr>
              <w:lastRenderedPageBreak/>
              <w:t>2021</w:t>
            </w:r>
          </w:p>
        </w:tc>
        <w:tc>
          <w:tcPr>
            <w:tcW w:w="2154" w:type="dxa"/>
            <w:tcBorders>
              <w:top w:val="nil"/>
              <w:bottom w:val="nil"/>
            </w:tcBorders>
          </w:tcPr>
          <w:p w14:paraId="3FB33260" w14:textId="119F8DF0" w:rsidR="00206B34" w:rsidRPr="00206B34" w:rsidRDefault="00206B34" w:rsidP="008E6A37">
            <w:pPr>
              <w:tabs>
                <w:tab w:val="decimal" w:pos="1135"/>
              </w:tabs>
              <w:rPr>
                <w:rFonts w:ascii="Times New Roman" w:hAnsi="Times New Roman" w:cs="Times New Roman"/>
                <w:b/>
                <w:bCs/>
                <w:color w:val="000000"/>
              </w:rPr>
            </w:pPr>
            <w:r w:rsidRPr="00206B34">
              <w:rPr>
                <w:rFonts w:ascii="Times New Roman" w:hAnsi="Times New Roman" w:cs="Times New Roman"/>
                <w:b/>
              </w:rPr>
              <w:t>86</w:t>
            </w:r>
          </w:p>
        </w:tc>
        <w:tc>
          <w:tcPr>
            <w:tcW w:w="2154" w:type="dxa"/>
            <w:tcBorders>
              <w:top w:val="nil"/>
              <w:bottom w:val="nil"/>
            </w:tcBorders>
          </w:tcPr>
          <w:p w14:paraId="58A055EE" w14:textId="0B884A40" w:rsidR="00206B34" w:rsidRPr="00206B34" w:rsidRDefault="00206B34" w:rsidP="008E6A37">
            <w:pPr>
              <w:tabs>
                <w:tab w:val="decimal" w:pos="1107"/>
              </w:tabs>
              <w:rPr>
                <w:rFonts w:ascii="Times New Roman" w:hAnsi="Times New Roman" w:cs="Times New Roman"/>
                <w:b/>
                <w:bCs/>
                <w:color w:val="000000"/>
              </w:rPr>
            </w:pPr>
            <w:r w:rsidRPr="00206B34">
              <w:rPr>
                <w:rFonts w:ascii="Times New Roman" w:hAnsi="Times New Roman" w:cs="Times New Roman"/>
                <w:b/>
              </w:rPr>
              <w:t>83</w:t>
            </w:r>
          </w:p>
        </w:tc>
        <w:tc>
          <w:tcPr>
            <w:tcW w:w="2154" w:type="dxa"/>
            <w:tcBorders>
              <w:top w:val="nil"/>
              <w:bottom w:val="nil"/>
            </w:tcBorders>
          </w:tcPr>
          <w:p w14:paraId="1A0D6920" w14:textId="234F13D7" w:rsidR="00206B34" w:rsidRPr="00206B34" w:rsidRDefault="00206B34" w:rsidP="008E6A37">
            <w:pPr>
              <w:tabs>
                <w:tab w:val="decimal" w:pos="1221"/>
              </w:tabs>
              <w:rPr>
                <w:rFonts w:ascii="Times New Roman" w:hAnsi="Times New Roman" w:cs="Times New Roman"/>
                <w:b/>
                <w:bCs/>
                <w:color w:val="000000"/>
              </w:rPr>
            </w:pPr>
            <w:r w:rsidRPr="00206B34">
              <w:rPr>
                <w:rFonts w:ascii="Times New Roman" w:hAnsi="Times New Roman" w:cs="Times New Roman"/>
                <w:b/>
              </w:rPr>
              <w:t>103</w:t>
            </w:r>
          </w:p>
        </w:tc>
      </w:tr>
      <w:tr w:rsidR="00206B34" w:rsidRPr="00B824AA" w14:paraId="5143EC77" w14:textId="77777777" w:rsidTr="00866620">
        <w:tc>
          <w:tcPr>
            <w:tcW w:w="2551" w:type="dxa"/>
            <w:tcBorders>
              <w:top w:val="nil"/>
              <w:bottom w:val="nil"/>
            </w:tcBorders>
            <w:vAlign w:val="center"/>
          </w:tcPr>
          <w:p w14:paraId="03D8966D" w14:textId="35D36753" w:rsidR="00206B34" w:rsidRPr="00B824AA" w:rsidRDefault="00206B34" w:rsidP="008E6A37">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bottom w:val="nil"/>
            </w:tcBorders>
          </w:tcPr>
          <w:p w14:paraId="270F8F05" w14:textId="2BB8E47E" w:rsidR="00206B34" w:rsidRPr="00206B34" w:rsidRDefault="00206B34" w:rsidP="008E6A37">
            <w:pPr>
              <w:tabs>
                <w:tab w:val="decimal" w:pos="1135"/>
              </w:tabs>
              <w:rPr>
                <w:rFonts w:ascii="Times New Roman" w:hAnsi="Times New Roman" w:cs="Times New Roman"/>
                <w:b/>
                <w:bCs/>
                <w:color w:val="000000"/>
              </w:rPr>
            </w:pPr>
            <w:r w:rsidRPr="00206B34">
              <w:rPr>
                <w:rFonts w:ascii="Times New Roman" w:hAnsi="Times New Roman" w:cs="Times New Roman"/>
                <w:b/>
              </w:rPr>
              <w:t>86</w:t>
            </w:r>
          </w:p>
        </w:tc>
        <w:tc>
          <w:tcPr>
            <w:tcW w:w="2154" w:type="dxa"/>
            <w:tcBorders>
              <w:top w:val="nil"/>
              <w:bottom w:val="nil"/>
            </w:tcBorders>
          </w:tcPr>
          <w:p w14:paraId="1AEE67DE" w14:textId="6F2270E4" w:rsidR="00206B34" w:rsidRPr="00206B34" w:rsidRDefault="00206B34" w:rsidP="008E6A37">
            <w:pPr>
              <w:tabs>
                <w:tab w:val="decimal" w:pos="1107"/>
              </w:tabs>
              <w:rPr>
                <w:rFonts w:ascii="Times New Roman" w:hAnsi="Times New Roman" w:cs="Times New Roman"/>
                <w:b/>
                <w:bCs/>
                <w:color w:val="000000"/>
              </w:rPr>
            </w:pPr>
            <w:r w:rsidRPr="00206B34">
              <w:rPr>
                <w:rFonts w:ascii="Times New Roman" w:hAnsi="Times New Roman" w:cs="Times New Roman"/>
                <w:b/>
              </w:rPr>
              <w:t>83</w:t>
            </w:r>
          </w:p>
        </w:tc>
        <w:tc>
          <w:tcPr>
            <w:tcW w:w="2154" w:type="dxa"/>
            <w:tcBorders>
              <w:top w:val="nil"/>
              <w:bottom w:val="nil"/>
            </w:tcBorders>
          </w:tcPr>
          <w:p w14:paraId="47137A34" w14:textId="1751C0BC" w:rsidR="00206B34" w:rsidRPr="00206B34" w:rsidRDefault="00206B34" w:rsidP="008E6A37">
            <w:pPr>
              <w:tabs>
                <w:tab w:val="decimal" w:pos="1221"/>
              </w:tabs>
              <w:rPr>
                <w:rFonts w:ascii="Times New Roman" w:hAnsi="Times New Roman" w:cs="Times New Roman"/>
                <w:b/>
                <w:bCs/>
                <w:color w:val="000000"/>
              </w:rPr>
            </w:pPr>
            <w:r w:rsidRPr="00206B34">
              <w:rPr>
                <w:rFonts w:ascii="Times New Roman" w:hAnsi="Times New Roman" w:cs="Times New Roman"/>
                <w:b/>
              </w:rPr>
              <w:t>102</w:t>
            </w:r>
          </w:p>
        </w:tc>
      </w:tr>
      <w:tr w:rsidR="008A2901" w:rsidRPr="00B824AA" w14:paraId="61C5F807" w14:textId="77777777" w:rsidTr="00D9615A">
        <w:tc>
          <w:tcPr>
            <w:tcW w:w="2551" w:type="dxa"/>
            <w:tcBorders>
              <w:top w:val="nil"/>
              <w:bottom w:val="nil"/>
            </w:tcBorders>
            <w:vAlign w:val="center"/>
          </w:tcPr>
          <w:p w14:paraId="4E6129B4" w14:textId="77777777" w:rsidR="008A2901" w:rsidRPr="00B824AA" w:rsidRDefault="008A2901" w:rsidP="00CC3BD8">
            <w:pPr>
              <w:ind w:left="316"/>
              <w:rPr>
                <w:rFonts w:ascii="Times New Roman" w:hAnsi="Times New Roman" w:cs="Times New Roman"/>
                <w:color w:val="000000"/>
              </w:rPr>
            </w:pPr>
          </w:p>
          <w:p w14:paraId="0089CD24" w14:textId="657604D8" w:rsidR="008A2901" w:rsidRPr="00B824AA" w:rsidRDefault="008A2901" w:rsidP="00CC3BD8">
            <w:pPr>
              <w:ind w:left="316"/>
              <w:rPr>
                <w:rFonts w:ascii="Times New Roman" w:hAnsi="Times New Roman" w:cs="Times New Roman"/>
              </w:rPr>
            </w:pPr>
            <w:r w:rsidRPr="00B824AA">
              <w:rPr>
                <w:rFonts w:ascii="Times New Roman" w:hAnsi="Times New Roman" w:cs="Times New Roman"/>
              </w:rPr>
              <w:t>Przeciętne trwanie życia w zdrowiu</w:t>
            </w:r>
          </w:p>
        </w:tc>
        <w:tc>
          <w:tcPr>
            <w:tcW w:w="2154" w:type="dxa"/>
            <w:tcBorders>
              <w:top w:val="nil"/>
              <w:bottom w:val="nil"/>
            </w:tcBorders>
            <w:vAlign w:val="bottom"/>
          </w:tcPr>
          <w:p w14:paraId="418F7D06" w14:textId="77777777" w:rsidR="008A2901" w:rsidRPr="00B824AA" w:rsidRDefault="008A2901" w:rsidP="00CC3BD8">
            <w:pPr>
              <w:tabs>
                <w:tab w:val="decimal" w:pos="1135"/>
              </w:tabs>
              <w:rPr>
                <w:rFonts w:ascii="Times New Roman" w:hAnsi="Times New Roman" w:cs="Times New Roman"/>
              </w:rPr>
            </w:pPr>
          </w:p>
        </w:tc>
        <w:tc>
          <w:tcPr>
            <w:tcW w:w="2154" w:type="dxa"/>
            <w:tcBorders>
              <w:top w:val="nil"/>
              <w:bottom w:val="nil"/>
            </w:tcBorders>
            <w:vAlign w:val="bottom"/>
          </w:tcPr>
          <w:p w14:paraId="38BC29B2" w14:textId="77777777" w:rsidR="008A2901" w:rsidRPr="00B824AA" w:rsidRDefault="008A2901" w:rsidP="00CC3BD8">
            <w:pPr>
              <w:tabs>
                <w:tab w:val="decimal" w:pos="1107"/>
              </w:tabs>
              <w:rPr>
                <w:rFonts w:ascii="Times New Roman" w:hAnsi="Times New Roman" w:cs="Times New Roman"/>
              </w:rPr>
            </w:pPr>
          </w:p>
        </w:tc>
        <w:tc>
          <w:tcPr>
            <w:tcW w:w="2154" w:type="dxa"/>
            <w:tcBorders>
              <w:top w:val="nil"/>
              <w:bottom w:val="nil"/>
            </w:tcBorders>
            <w:vAlign w:val="bottom"/>
          </w:tcPr>
          <w:p w14:paraId="259860CA" w14:textId="77777777" w:rsidR="008A2901" w:rsidRPr="00B824AA" w:rsidRDefault="008A2901" w:rsidP="00CC3BD8">
            <w:pPr>
              <w:tabs>
                <w:tab w:val="decimal" w:pos="1221"/>
              </w:tabs>
              <w:rPr>
                <w:rFonts w:ascii="Times New Roman" w:hAnsi="Times New Roman" w:cs="Times New Roman"/>
              </w:rPr>
            </w:pPr>
          </w:p>
        </w:tc>
      </w:tr>
      <w:tr w:rsidR="000575AC" w:rsidRPr="00B824AA" w14:paraId="17F159ED" w14:textId="77777777" w:rsidTr="00866620">
        <w:tc>
          <w:tcPr>
            <w:tcW w:w="2551" w:type="dxa"/>
            <w:tcBorders>
              <w:top w:val="nil"/>
              <w:bottom w:val="nil"/>
            </w:tcBorders>
            <w:vAlign w:val="center"/>
          </w:tcPr>
          <w:p w14:paraId="02C90BCC" w14:textId="77777777" w:rsidR="000575AC" w:rsidRPr="00B824AA" w:rsidRDefault="000575AC" w:rsidP="008E6A37">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75D6501F" w14:textId="4EED3AB2" w:rsidR="000575AC" w:rsidRPr="000575AC" w:rsidRDefault="000575AC" w:rsidP="008E6A37">
            <w:pPr>
              <w:tabs>
                <w:tab w:val="decimal" w:pos="1135"/>
              </w:tabs>
              <w:rPr>
                <w:rFonts w:ascii="Times New Roman" w:hAnsi="Times New Roman" w:cs="Times New Roman"/>
              </w:rPr>
            </w:pPr>
            <w:r w:rsidRPr="000575AC">
              <w:rPr>
                <w:rFonts w:ascii="Times New Roman" w:hAnsi="Times New Roman" w:cs="Times New Roman"/>
              </w:rPr>
              <w:t>99</w:t>
            </w:r>
          </w:p>
        </w:tc>
        <w:tc>
          <w:tcPr>
            <w:tcW w:w="2154" w:type="dxa"/>
            <w:tcBorders>
              <w:top w:val="nil"/>
              <w:bottom w:val="nil"/>
            </w:tcBorders>
          </w:tcPr>
          <w:p w14:paraId="39CCAC40" w14:textId="7DF1967A" w:rsidR="000575AC" w:rsidRPr="000575AC" w:rsidRDefault="000575AC" w:rsidP="008E6A37">
            <w:pPr>
              <w:tabs>
                <w:tab w:val="decimal" w:pos="1107"/>
              </w:tabs>
              <w:rPr>
                <w:rFonts w:ascii="Times New Roman" w:hAnsi="Times New Roman" w:cs="Times New Roman"/>
              </w:rPr>
            </w:pPr>
            <w:r w:rsidRPr="000575AC">
              <w:rPr>
                <w:rFonts w:ascii="Times New Roman" w:hAnsi="Times New Roman" w:cs="Times New Roman"/>
              </w:rPr>
              <w:t>98</w:t>
            </w:r>
          </w:p>
        </w:tc>
        <w:tc>
          <w:tcPr>
            <w:tcW w:w="2154" w:type="dxa"/>
            <w:tcBorders>
              <w:top w:val="nil"/>
              <w:bottom w:val="nil"/>
            </w:tcBorders>
          </w:tcPr>
          <w:p w14:paraId="7BF8EEE2" w14:textId="3826C207" w:rsidR="000575AC" w:rsidRPr="000575AC" w:rsidRDefault="000575AC" w:rsidP="008E6A37">
            <w:pPr>
              <w:tabs>
                <w:tab w:val="decimal" w:pos="1221"/>
              </w:tabs>
              <w:rPr>
                <w:rFonts w:ascii="Times New Roman" w:hAnsi="Times New Roman" w:cs="Times New Roman"/>
              </w:rPr>
            </w:pPr>
            <w:r w:rsidRPr="000575AC">
              <w:rPr>
                <w:rFonts w:ascii="Times New Roman" w:hAnsi="Times New Roman" w:cs="Times New Roman"/>
              </w:rPr>
              <w:t>102</w:t>
            </w:r>
          </w:p>
        </w:tc>
      </w:tr>
      <w:tr w:rsidR="000575AC" w:rsidRPr="00B824AA" w14:paraId="1FEB91F0" w14:textId="77777777" w:rsidTr="00866620">
        <w:tc>
          <w:tcPr>
            <w:tcW w:w="2551" w:type="dxa"/>
            <w:tcBorders>
              <w:top w:val="nil"/>
              <w:bottom w:val="nil"/>
            </w:tcBorders>
            <w:vAlign w:val="center"/>
          </w:tcPr>
          <w:p w14:paraId="21139C76" w14:textId="77777777" w:rsidR="000575AC" w:rsidRPr="00B824AA" w:rsidRDefault="000575AC" w:rsidP="008E6A37">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086619A9" w14:textId="41EE5C30" w:rsidR="000575AC" w:rsidRPr="000575AC" w:rsidRDefault="000575AC" w:rsidP="008E6A37">
            <w:pPr>
              <w:tabs>
                <w:tab w:val="decimal" w:pos="1135"/>
              </w:tabs>
              <w:rPr>
                <w:rFonts w:ascii="Times New Roman" w:hAnsi="Times New Roman" w:cs="Times New Roman"/>
              </w:rPr>
            </w:pPr>
            <w:r w:rsidRPr="000575AC">
              <w:rPr>
                <w:rFonts w:ascii="Times New Roman" w:hAnsi="Times New Roman" w:cs="Times New Roman"/>
              </w:rPr>
              <w:t>98</w:t>
            </w:r>
          </w:p>
        </w:tc>
        <w:tc>
          <w:tcPr>
            <w:tcW w:w="2154" w:type="dxa"/>
            <w:tcBorders>
              <w:top w:val="nil"/>
              <w:bottom w:val="nil"/>
            </w:tcBorders>
          </w:tcPr>
          <w:p w14:paraId="4FF3241D" w14:textId="70536883" w:rsidR="000575AC" w:rsidRPr="000575AC" w:rsidRDefault="000575AC" w:rsidP="008E6A37">
            <w:pPr>
              <w:tabs>
                <w:tab w:val="decimal" w:pos="1107"/>
              </w:tabs>
              <w:rPr>
                <w:rFonts w:ascii="Times New Roman" w:hAnsi="Times New Roman" w:cs="Times New Roman"/>
              </w:rPr>
            </w:pPr>
            <w:r w:rsidRPr="000575AC">
              <w:rPr>
                <w:rFonts w:ascii="Times New Roman" w:hAnsi="Times New Roman" w:cs="Times New Roman"/>
              </w:rPr>
              <w:t>97</w:t>
            </w:r>
          </w:p>
        </w:tc>
        <w:tc>
          <w:tcPr>
            <w:tcW w:w="2154" w:type="dxa"/>
            <w:tcBorders>
              <w:top w:val="nil"/>
              <w:bottom w:val="nil"/>
            </w:tcBorders>
          </w:tcPr>
          <w:p w14:paraId="3DBD3D75" w14:textId="4ADD69F1" w:rsidR="000575AC" w:rsidRPr="000575AC" w:rsidRDefault="000575AC" w:rsidP="008E6A37">
            <w:pPr>
              <w:tabs>
                <w:tab w:val="decimal" w:pos="1221"/>
              </w:tabs>
              <w:rPr>
                <w:rFonts w:ascii="Times New Roman" w:hAnsi="Times New Roman" w:cs="Times New Roman"/>
              </w:rPr>
            </w:pPr>
            <w:r w:rsidRPr="000575AC">
              <w:rPr>
                <w:rFonts w:ascii="Times New Roman" w:hAnsi="Times New Roman" w:cs="Times New Roman"/>
              </w:rPr>
              <w:t>102</w:t>
            </w:r>
          </w:p>
        </w:tc>
      </w:tr>
      <w:tr w:rsidR="000575AC" w:rsidRPr="00B824AA" w14:paraId="55B7953D" w14:textId="77777777" w:rsidTr="00866620">
        <w:tc>
          <w:tcPr>
            <w:tcW w:w="2551" w:type="dxa"/>
            <w:tcBorders>
              <w:top w:val="nil"/>
              <w:bottom w:val="nil"/>
            </w:tcBorders>
            <w:vAlign w:val="center"/>
          </w:tcPr>
          <w:p w14:paraId="2B4A7543" w14:textId="77777777" w:rsidR="000575AC" w:rsidRPr="00B824AA" w:rsidRDefault="000575AC" w:rsidP="008E6A37">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62815358" w14:textId="2B36223C" w:rsidR="000575AC" w:rsidRPr="000575AC" w:rsidRDefault="000575AC" w:rsidP="008E6A37">
            <w:pPr>
              <w:tabs>
                <w:tab w:val="decimal" w:pos="1135"/>
              </w:tabs>
              <w:rPr>
                <w:rFonts w:ascii="Times New Roman" w:hAnsi="Times New Roman" w:cs="Times New Roman"/>
              </w:rPr>
            </w:pPr>
            <w:r w:rsidRPr="000575AC">
              <w:rPr>
                <w:rFonts w:ascii="Times New Roman" w:hAnsi="Times New Roman" w:cs="Times New Roman"/>
              </w:rPr>
              <w:t>96</w:t>
            </w:r>
          </w:p>
        </w:tc>
        <w:tc>
          <w:tcPr>
            <w:tcW w:w="2154" w:type="dxa"/>
            <w:tcBorders>
              <w:top w:val="nil"/>
              <w:bottom w:val="nil"/>
            </w:tcBorders>
          </w:tcPr>
          <w:p w14:paraId="1667462A" w14:textId="56CC2FE9" w:rsidR="000575AC" w:rsidRPr="000575AC" w:rsidRDefault="000575AC" w:rsidP="008E6A37">
            <w:pPr>
              <w:tabs>
                <w:tab w:val="decimal" w:pos="1107"/>
              </w:tabs>
              <w:rPr>
                <w:rFonts w:ascii="Times New Roman" w:hAnsi="Times New Roman" w:cs="Times New Roman"/>
              </w:rPr>
            </w:pPr>
            <w:r w:rsidRPr="000575AC">
              <w:rPr>
                <w:rFonts w:ascii="Times New Roman" w:hAnsi="Times New Roman" w:cs="Times New Roman"/>
              </w:rPr>
              <w:t>95</w:t>
            </w:r>
          </w:p>
        </w:tc>
        <w:tc>
          <w:tcPr>
            <w:tcW w:w="2154" w:type="dxa"/>
            <w:tcBorders>
              <w:top w:val="nil"/>
              <w:bottom w:val="nil"/>
            </w:tcBorders>
          </w:tcPr>
          <w:p w14:paraId="12FB8204" w14:textId="7256EEDC" w:rsidR="000575AC" w:rsidRPr="000575AC" w:rsidRDefault="000575AC" w:rsidP="008E6A37">
            <w:pPr>
              <w:tabs>
                <w:tab w:val="decimal" w:pos="1221"/>
              </w:tabs>
              <w:rPr>
                <w:rFonts w:ascii="Times New Roman" w:hAnsi="Times New Roman" w:cs="Times New Roman"/>
              </w:rPr>
            </w:pPr>
            <w:r w:rsidRPr="000575AC">
              <w:rPr>
                <w:rFonts w:ascii="Times New Roman" w:hAnsi="Times New Roman" w:cs="Times New Roman"/>
              </w:rPr>
              <w:t>102</w:t>
            </w:r>
          </w:p>
        </w:tc>
      </w:tr>
      <w:tr w:rsidR="000575AC" w:rsidRPr="00B824AA" w14:paraId="4C167B67" w14:textId="77777777" w:rsidTr="00866620">
        <w:tc>
          <w:tcPr>
            <w:tcW w:w="2551" w:type="dxa"/>
            <w:tcBorders>
              <w:top w:val="nil"/>
              <w:bottom w:val="nil"/>
            </w:tcBorders>
            <w:vAlign w:val="center"/>
          </w:tcPr>
          <w:p w14:paraId="39E6F387" w14:textId="3C401B7F" w:rsidR="000575AC" w:rsidRPr="00B824AA" w:rsidRDefault="000575AC" w:rsidP="008E6A37">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bottom w:val="nil"/>
            </w:tcBorders>
          </w:tcPr>
          <w:p w14:paraId="6C1945DA" w14:textId="0C16595F" w:rsidR="000575AC" w:rsidRPr="000575AC" w:rsidRDefault="000575AC" w:rsidP="008E6A37">
            <w:pPr>
              <w:tabs>
                <w:tab w:val="decimal" w:pos="1135"/>
              </w:tabs>
              <w:rPr>
                <w:rFonts w:ascii="Times New Roman" w:hAnsi="Times New Roman" w:cs="Times New Roman"/>
                <w:color w:val="000000"/>
              </w:rPr>
            </w:pPr>
            <w:r w:rsidRPr="000575AC">
              <w:rPr>
                <w:rFonts w:ascii="Times New Roman" w:hAnsi="Times New Roman" w:cs="Times New Roman"/>
              </w:rPr>
              <w:t>98</w:t>
            </w:r>
          </w:p>
        </w:tc>
        <w:tc>
          <w:tcPr>
            <w:tcW w:w="2154" w:type="dxa"/>
            <w:tcBorders>
              <w:top w:val="nil"/>
              <w:bottom w:val="nil"/>
            </w:tcBorders>
          </w:tcPr>
          <w:p w14:paraId="2099A4CC" w14:textId="506F571F" w:rsidR="000575AC" w:rsidRPr="000575AC" w:rsidRDefault="000575AC" w:rsidP="008E6A37">
            <w:pPr>
              <w:tabs>
                <w:tab w:val="decimal" w:pos="1107"/>
              </w:tabs>
              <w:rPr>
                <w:rFonts w:ascii="Times New Roman" w:hAnsi="Times New Roman" w:cs="Times New Roman"/>
                <w:color w:val="000000"/>
              </w:rPr>
            </w:pPr>
            <w:r w:rsidRPr="000575AC">
              <w:rPr>
                <w:rFonts w:ascii="Times New Roman" w:hAnsi="Times New Roman" w:cs="Times New Roman"/>
              </w:rPr>
              <w:t>96</w:t>
            </w:r>
          </w:p>
        </w:tc>
        <w:tc>
          <w:tcPr>
            <w:tcW w:w="2154" w:type="dxa"/>
            <w:tcBorders>
              <w:top w:val="nil"/>
              <w:bottom w:val="nil"/>
            </w:tcBorders>
          </w:tcPr>
          <w:p w14:paraId="4153EF77" w14:textId="5A6E1049" w:rsidR="000575AC" w:rsidRPr="000575AC" w:rsidRDefault="000575AC" w:rsidP="008E6A37">
            <w:pPr>
              <w:tabs>
                <w:tab w:val="decimal" w:pos="1221"/>
              </w:tabs>
              <w:rPr>
                <w:rFonts w:ascii="Times New Roman" w:hAnsi="Times New Roman" w:cs="Times New Roman"/>
                <w:color w:val="000000"/>
              </w:rPr>
            </w:pPr>
            <w:r w:rsidRPr="000575AC">
              <w:rPr>
                <w:rFonts w:ascii="Times New Roman" w:hAnsi="Times New Roman" w:cs="Times New Roman"/>
              </w:rPr>
              <w:t>103</w:t>
            </w:r>
          </w:p>
        </w:tc>
      </w:tr>
      <w:tr w:rsidR="000575AC" w:rsidRPr="00B824AA" w14:paraId="577C3ABD" w14:textId="77777777" w:rsidTr="00866620">
        <w:tc>
          <w:tcPr>
            <w:tcW w:w="2551" w:type="dxa"/>
            <w:tcBorders>
              <w:top w:val="nil"/>
              <w:bottom w:val="nil"/>
            </w:tcBorders>
            <w:vAlign w:val="center"/>
          </w:tcPr>
          <w:p w14:paraId="28FA3B5A" w14:textId="53E657D3" w:rsidR="000575AC" w:rsidRPr="00B824AA" w:rsidRDefault="000575AC" w:rsidP="008E6A37">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22C3AC36" w14:textId="4B739A0F" w:rsidR="000575AC" w:rsidRPr="000575AC" w:rsidRDefault="000575AC" w:rsidP="008E6A37">
            <w:pPr>
              <w:tabs>
                <w:tab w:val="decimal" w:pos="1135"/>
              </w:tabs>
              <w:rPr>
                <w:rFonts w:ascii="Times New Roman" w:hAnsi="Times New Roman" w:cs="Times New Roman"/>
                <w:color w:val="000000"/>
              </w:rPr>
            </w:pPr>
            <w:r w:rsidRPr="000575AC">
              <w:rPr>
                <w:rFonts w:ascii="Times New Roman" w:hAnsi="Times New Roman" w:cs="Times New Roman"/>
              </w:rPr>
              <w:t>100</w:t>
            </w:r>
          </w:p>
        </w:tc>
        <w:tc>
          <w:tcPr>
            <w:tcW w:w="2154" w:type="dxa"/>
            <w:tcBorders>
              <w:top w:val="nil"/>
              <w:bottom w:val="nil"/>
            </w:tcBorders>
          </w:tcPr>
          <w:p w14:paraId="47B25627" w14:textId="2CEA0D9D" w:rsidR="000575AC" w:rsidRPr="000575AC" w:rsidRDefault="000575AC" w:rsidP="008E6A37">
            <w:pPr>
              <w:tabs>
                <w:tab w:val="decimal" w:pos="1107"/>
              </w:tabs>
              <w:rPr>
                <w:rFonts w:ascii="Times New Roman" w:hAnsi="Times New Roman" w:cs="Times New Roman"/>
                <w:color w:val="000000"/>
              </w:rPr>
            </w:pPr>
            <w:r w:rsidRPr="000575AC">
              <w:rPr>
                <w:rFonts w:ascii="Times New Roman" w:hAnsi="Times New Roman" w:cs="Times New Roman"/>
              </w:rPr>
              <w:t>99</w:t>
            </w:r>
          </w:p>
        </w:tc>
        <w:tc>
          <w:tcPr>
            <w:tcW w:w="2154" w:type="dxa"/>
            <w:tcBorders>
              <w:top w:val="nil"/>
              <w:bottom w:val="nil"/>
            </w:tcBorders>
          </w:tcPr>
          <w:p w14:paraId="1F9FFB66" w14:textId="2A19038C" w:rsidR="000575AC" w:rsidRPr="000575AC" w:rsidRDefault="000575AC" w:rsidP="008E6A37">
            <w:pPr>
              <w:tabs>
                <w:tab w:val="decimal" w:pos="1221"/>
              </w:tabs>
              <w:rPr>
                <w:rFonts w:ascii="Times New Roman" w:hAnsi="Times New Roman" w:cs="Times New Roman"/>
                <w:color w:val="000000"/>
              </w:rPr>
            </w:pPr>
            <w:r w:rsidRPr="000575AC">
              <w:rPr>
                <w:rFonts w:ascii="Times New Roman" w:hAnsi="Times New Roman" w:cs="Times New Roman"/>
              </w:rPr>
              <w:t>101</w:t>
            </w:r>
          </w:p>
        </w:tc>
      </w:tr>
      <w:tr w:rsidR="008A2901" w:rsidRPr="00B824AA" w14:paraId="276A9279" w14:textId="77777777" w:rsidTr="00D9615A">
        <w:tc>
          <w:tcPr>
            <w:tcW w:w="2551" w:type="dxa"/>
            <w:tcBorders>
              <w:top w:val="nil"/>
              <w:bottom w:val="nil"/>
            </w:tcBorders>
            <w:vAlign w:val="center"/>
          </w:tcPr>
          <w:p w14:paraId="407B26BD" w14:textId="77777777" w:rsidR="00D9615A" w:rsidRPr="00B824AA" w:rsidRDefault="00D9615A" w:rsidP="00CC3BD8">
            <w:pPr>
              <w:ind w:left="316"/>
              <w:rPr>
                <w:rFonts w:ascii="Times New Roman" w:hAnsi="Times New Roman" w:cs="Times New Roman"/>
              </w:rPr>
            </w:pPr>
          </w:p>
          <w:p w14:paraId="7EE5316E" w14:textId="1588E9B9" w:rsidR="008A2901" w:rsidRPr="00B824AA" w:rsidRDefault="008A2901" w:rsidP="00CC3BD8">
            <w:pPr>
              <w:ind w:left="316"/>
              <w:rPr>
                <w:rFonts w:ascii="Times New Roman" w:hAnsi="Times New Roman" w:cs="Times New Roman"/>
              </w:rPr>
            </w:pPr>
            <w:r w:rsidRPr="00B824AA">
              <w:rPr>
                <w:rFonts w:ascii="Times New Roman" w:hAnsi="Times New Roman" w:cs="Times New Roman"/>
              </w:rPr>
              <w:t xml:space="preserve">Samoocena stanu zdrowia </w:t>
            </w:r>
          </w:p>
        </w:tc>
        <w:tc>
          <w:tcPr>
            <w:tcW w:w="2154" w:type="dxa"/>
            <w:tcBorders>
              <w:top w:val="nil"/>
              <w:bottom w:val="nil"/>
            </w:tcBorders>
            <w:vAlign w:val="bottom"/>
          </w:tcPr>
          <w:p w14:paraId="39A634DC" w14:textId="77777777" w:rsidR="008A2901" w:rsidRPr="00B824AA" w:rsidRDefault="008A2901" w:rsidP="00CC3BD8">
            <w:pPr>
              <w:tabs>
                <w:tab w:val="decimal" w:pos="1135"/>
              </w:tabs>
              <w:rPr>
                <w:rFonts w:ascii="Times New Roman" w:hAnsi="Times New Roman" w:cs="Times New Roman"/>
              </w:rPr>
            </w:pPr>
          </w:p>
        </w:tc>
        <w:tc>
          <w:tcPr>
            <w:tcW w:w="2154" w:type="dxa"/>
            <w:tcBorders>
              <w:top w:val="nil"/>
              <w:bottom w:val="nil"/>
            </w:tcBorders>
            <w:vAlign w:val="bottom"/>
          </w:tcPr>
          <w:p w14:paraId="3846A4FA" w14:textId="77777777" w:rsidR="008A2901" w:rsidRPr="00B824AA" w:rsidRDefault="008A2901" w:rsidP="00CC3BD8">
            <w:pPr>
              <w:tabs>
                <w:tab w:val="decimal" w:pos="1107"/>
              </w:tabs>
              <w:rPr>
                <w:rFonts w:ascii="Times New Roman" w:hAnsi="Times New Roman" w:cs="Times New Roman"/>
              </w:rPr>
            </w:pPr>
          </w:p>
        </w:tc>
        <w:tc>
          <w:tcPr>
            <w:tcW w:w="2154" w:type="dxa"/>
            <w:tcBorders>
              <w:top w:val="nil"/>
              <w:bottom w:val="nil"/>
            </w:tcBorders>
            <w:vAlign w:val="bottom"/>
          </w:tcPr>
          <w:p w14:paraId="0933E87C" w14:textId="77777777" w:rsidR="008A2901" w:rsidRPr="00B824AA" w:rsidRDefault="008A2901" w:rsidP="00CC3BD8">
            <w:pPr>
              <w:tabs>
                <w:tab w:val="decimal" w:pos="1221"/>
              </w:tabs>
              <w:rPr>
                <w:rFonts w:ascii="Times New Roman" w:hAnsi="Times New Roman" w:cs="Times New Roman"/>
              </w:rPr>
            </w:pPr>
          </w:p>
        </w:tc>
      </w:tr>
      <w:tr w:rsidR="00CE5FF8" w:rsidRPr="00B824AA" w14:paraId="389CF4A1" w14:textId="77777777" w:rsidTr="00866620">
        <w:tc>
          <w:tcPr>
            <w:tcW w:w="2551" w:type="dxa"/>
            <w:tcBorders>
              <w:top w:val="nil"/>
              <w:bottom w:val="nil"/>
            </w:tcBorders>
            <w:vAlign w:val="center"/>
          </w:tcPr>
          <w:p w14:paraId="3E81F2FD" w14:textId="77777777" w:rsidR="00CE5FF8" w:rsidRPr="00B824AA" w:rsidRDefault="00CE5FF8" w:rsidP="00C3654D">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1A53B53F" w14:textId="44CCCBC0" w:rsidR="00CE5FF8" w:rsidRPr="00CE5FF8" w:rsidRDefault="00CE5FF8" w:rsidP="00C3654D">
            <w:pPr>
              <w:tabs>
                <w:tab w:val="decimal" w:pos="1135"/>
              </w:tabs>
              <w:rPr>
                <w:rFonts w:ascii="Times New Roman" w:hAnsi="Times New Roman" w:cs="Times New Roman"/>
              </w:rPr>
            </w:pPr>
            <w:r w:rsidRPr="00CE5FF8">
              <w:rPr>
                <w:rFonts w:ascii="Times New Roman" w:hAnsi="Times New Roman" w:cs="Times New Roman"/>
              </w:rPr>
              <w:t>87</w:t>
            </w:r>
          </w:p>
        </w:tc>
        <w:tc>
          <w:tcPr>
            <w:tcW w:w="2154" w:type="dxa"/>
            <w:tcBorders>
              <w:top w:val="nil"/>
              <w:bottom w:val="nil"/>
            </w:tcBorders>
          </w:tcPr>
          <w:p w14:paraId="185CE37E" w14:textId="7FB156B8" w:rsidR="00CE5FF8" w:rsidRPr="00CE5FF8" w:rsidRDefault="00CE5FF8" w:rsidP="00C3654D">
            <w:pPr>
              <w:tabs>
                <w:tab w:val="decimal" w:pos="1107"/>
              </w:tabs>
              <w:rPr>
                <w:rFonts w:ascii="Times New Roman" w:hAnsi="Times New Roman" w:cs="Times New Roman"/>
              </w:rPr>
            </w:pPr>
            <w:r w:rsidRPr="00CE5FF8">
              <w:rPr>
                <w:rFonts w:ascii="Times New Roman" w:hAnsi="Times New Roman" w:cs="Times New Roman"/>
              </w:rPr>
              <w:t>85</w:t>
            </w:r>
          </w:p>
        </w:tc>
        <w:tc>
          <w:tcPr>
            <w:tcW w:w="2154" w:type="dxa"/>
            <w:tcBorders>
              <w:top w:val="nil"/>
              <w:bottom w:val="nil"/>
            </w:tcBorders>
          </w:tcPr>
          <w:p w14:paraId="3E9015B1" w14:textId="5158C61B" w:rsidR="00CE5FF8" w:rsidRPr="00CE5FF8" w:rsidRDefault="00CE5FF8" w:rsidP="00C3654D">
            <w:pPr>
              <w:tabs>
                <w:tab w:val="decimal" w:pos="1221"/>
              </w:tabs>
              <w:rPr>
                <w:rFonts w:ascii="Times New Roman" w:hAnsi="Times New Roman" w:cs="Times New Roman"/>
              </w:rPr>
            </w:pPr>
            <w:r w:rsidRPr="00CE5FF8">
              <w:rPr>
                <w:rFonts w:ascii="Times New Roman" w:hAnsi="Times New Roman" w:cs="Times New Roman"/>
              </w:rPr>
              <w:t>96</w:t>
            </w:r>
          </w:p>
        </w:tc>
      </w:tr>
      <w:tr w:rsidR="00CE5FF8" w:rsidRPr="00B824AA" w14:paraId="1FDBA1BE" w14:textId="77777777" w:rsidTr="00866620">
        <w:tc>
          <w:tcPr>
            <w:tcW w:w="2551" w:type="dxa"/>
            <w:tcBorders>
              <w:top w:val="nil"/>
              <w:bottom w:val="nil"/>
            </w:tcBorders>
            <w:vAlign w:val="center"/>
          </w:tcPr>
          <w:p w14:paraId="78618958" w14:textId="77777777" w:rsidR="00CE5FF8" w:rsidRPr="00B824AA" w:rsidRDefault="00CE5FF8" w:rsidP="00C3654D">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50DEF266" w14:textId="55B4DDFD" w:rsidR="00CE5FF8" w:rsidRPr="00CE5FF8" w:rsidRDefault="00CE5FF8" w:rsidP="00C3654D">
            <w:pPr>
              <w:tabs>
                <w:tab w:val="decimal" w:pos="1135"/>
              </w:tabs>
              <w:rPr>
                <w:rFonts w:ascii="Times New Roman" w:hAnsi="Times New Roman" w:cs="Times New Roman"/>
              </w:rPr>
            </w:pPr>
            <w:r w:rsidRPr="00CE5FF8">
              <w:rPr>
                <w:rFonts w:ascii="Times New Roman" w:hAnsi="Times New Roman" w:cs="Times New Roman"/>
              </w:rPr>
              <w:t>87</w:t>
            </w:r>
          </w:p>
        </w:tc>
        <w:tc>
          <w:tcPr>
            <w:tcW w:w="2154" w:type="dxa"/>
            <w:tcBorders>
              <w:top w:val="nil"/>
              <w:bottom w:val="nil"/>
            </w:tcBorders>
          </w:tcPr>
          <w:p w14:paraId="14060F98" w14:textId="16B50722" w:rsidR="00CE5FF8" w:rsidRPr="00CE5FF8" w:rsidRDefault="00CE5FF8" w:rsidP="00C3654D">
            <w:pPr>
              <w:tabs>
                <w:tab w:val="decimal" w:pos="1107"/>
              </w:tabs>
              <w:rPr>
                <w:rFonts w:ascii="Times New Roman" w:hAnsi="Times New Roman" w:cs="Times New Roman"/>
              </w:rPr>
            </w:pPr>
            <w:r w:rsidRPr="00CE5FF8">
              <w:rPr>
                <w:rFonts w:ascii="Times New Roman" w:hAnsi="Times New Roman" w:cs="Times New Roman"/>
              </w:rPr>
              <w:t>85</w:t>
            </w:r>
          </w:p>
        </w:tc>
        <w:tc>
          <w:tcPr>
            <w:tcW w:w="2154" w:type="dxa"/>
            <w:tcBorders>
              <w:top w:val="nil"/>
              <w:bottom w:val="nil"/>
            </w:tcBorders>
          </w:tcPr>
          <w:p w14:paraId="4790FA35" w14:textId="39DF5D1F" w:rsidR="00CE5FF8" w:rsidRPr="00CE5FF8" w:rsidRDefault="00CE5FF8" w:rsidP="00C3654D">
            <w:pPr>
              <w:tabs>
                <w:tab w:val="decimal" w:pos="1221"/>
              </w:tabs>
              <w:rPr>
                <w:rFonts w:ascii="Times New Roman" w:hAnsi="Times New Roman" w:cs="Times New Roman"/>
              </w:rPr>
            </w:pPr>
            <w:r w:rsidRPr="00CE5FF8">
              <w:rPr>
                <w:rFonts w:ascii="Times New Roman" w:hAnsi="Times New Roman" w:cs="Times New Roman"/>
              </w:rPr>
              <w:t>95</w:t>
            </w:r>
          </w:p>
        </w:tc>
      </w:tr>
      <w:tr w:rsidR="00CE5FF8" w:rsidRPr="00B824AA" w14:paraId="32E29B76" w14:textId="77777777" w:rsidTr="00866620">
        <w:tc>
          <w:tcPr>
            <w:tcW w:w="2551" w:type="dxa"/>
            <w:tcBorders>
              <w:top w:val="nil"/>
              <w:bottom w:val="nil"/>
            </w:tcBorders>
            <w:vAlign w:val="center"/>
          </w:tcPr>
          <w:p w14:paraId="46E9BA92" w14:textId="427A2F2B" w:rsidR="00CE5FF8" w:rsidRPr="00B824AA" w:rsidRDefault="00CE5FF8" w:rsidP="00C3654D">
            <w:pPr>
              <w:ind w:left="316"/>
              <w:rPr>
                <w:rFonts w:ascii="Times New Roman" w:hAnsi="Times New Roman" w:cs="Times New Roman"/>
                <w:color w:val="000000"/>
              </w:rPr>
            </w:pPr>
            <w:r w:rsidRPr="00B824AA">
              <w:rPr>
                <w:rFonts w:ascii="Times New Roman" w:hAnsi="Times New Roman" w:cs="Times New Roman"/>
                <w:color w:val="000000"/>
              </w:rPr>
              <w:t>2020</w:t>
            </w:r>
          </w:p>
        </w:tc>
        <w:tc>
          <w:tcPr>
            <w:tcW w:w="2154" w:type="dxa"/>
            <w:tcBorders>
              <w:top w:val="nil"/>
              <w:bottom w:val="nil"/>
            </w:tcBorders>
          </w:tcPr>
          <w:p w14:paraId="0FA743D1" w14:textId="490449D3" w:rsidR="00CE5FF8" w:rsidRPr="00CE5FF8" w:rsidRDefault="00CE5FF8" w:rsidP="00C3654D">
            <w:pPr>
              <w:tabs>
                <w:tab w:val="decimal" w:pos="1135"/>
              </w:tabs>
              <w:rPr>
                <w:rFonts w:ascii="Times New Roman" w:hAnsi="Times New Roman" w:cs="Times New Roman"/>
                <w:color w:val="000000"/>
              </w:rPr>
            </w:pPr>
            <w:r w:rsidRPr="00CE5FF8">
              <w:rPr>
                <w:rFonts w:ascii="Times New Roman" w:hAnsi="Times New Roman" w:cs="Times New Roman"/>
              </w:rPr>
              <w:t>90</w:t>
            </w:r>
          </w:p>
        </w:tc>
        <w:tc>
          <w:tcPr>
            <w:tcW w:w="2154" w:type="dxa"/>
            <w:tcBorders>
              <w:top w:val="nil"/>
              <w:bottom w:val="nil"/>
            </w:tcBorders>
          </w:tcPr>
          <w:p w14:paraId="1EE15510" w14:textId="4490FC25" w:rsidR="00CE5FF8" w:rsidRPr="00CE5FF8" w:rsidRDefault="00CE5FF8" w:rsidP="00C3654D">
            <w:pPr>
              <w:tabs>
                <w:tab w:val="decimal" w:pos="1107"/>
              </w:tabs>
              <w:rPr>
                <w:rFonts w:ascii="Times New Roman" w:hAnsi="Times New Roman" w:cs="Times New Roman"/>
                <w:color w:val="000000"/>
              </w:rPr>
            </w:pPr>
            <w:r w:rsidRPr="00CE5FF8">
              <w:rPr>
                <w:rFonts w:ascii="Times New Roman" w:hAnsi="Times New Roman" w:cs="Times New Roman"/>
              </w:rPr>
              <w:t>88</w:t>
            </w:r>
          </w:p>
        </w:tc>
        <w:tc>
          <w:tcPr>
            <w:tcW w:w="2154" w:type="dxa"/>
            <w:tcBorders>
              <w:top w:val="nil"/>
              <w:bottom w:val="nil"/>
            </w:tcBorders>
          </w:tcPr>
          <w:p w14:paraId="4588F9C4" w14:textId="0925DEC7" w:rsidR="00CE5FF8" w:rsidRPr="00CE5FF8" w:rsidRDefault="00CE5FF8" w:rsidP="00C3654D">
            <w:pPr>
              <w:tabs>
                <w:tab w:val="decimal" w:pos="1221"/>
              </w:tabs>
              <w:rPr>
                <w:rFonts w:ascii="Times New Roman" w:hAnsi="Times New Roman" w:cs="Times New Roman"/>
                <w:color w:val="000000"/>
              </w:rPr>
            </w:pPr>
            <w:r w:rsidRPr="00CE5FF8">
              <w:rPr>
                <w:rFonts w:ascii="Times New Roman" w:hAnsi="Times New Roman" w:cs="Times New Roman"/>
              </w:rPr>
              <w:t>96</w:t>
            </w:r>
          </w:p>
        </w:tc>
      </w:tr>
      <w:tr w:rsidR="00CE5FF8" w:rsidRPr="00B824AA" w14:paraId="0A1E3880" w14:textId="77777777" w:rsidTr="00866620">
        <w:tc>
          <w:tcPr>
            <w:tcW w:w="2551" w:type="dxa"/>
            <w:tcBorders>
              <w:top w:val="nil"/>
              <w:bottom w:val="nil"/>
            </w:tcBorders>
            <w:vAlign w:val="center"/>
          </w:tcPr>
          <w:p w14:paraId="47D8AB5F" w14:textId="44FBD104" w:rsidR="00CE5FF8" w:rsidRPr="00B824AA" w:rsidRDefault="00CE5FF8" w:rsidP="00C3654D">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5E3341F0" w14:textId="0CE028C6" w:rsidR="00CE5FF8" w:rsidRPr="00CE5FF8" w:rsidRDefault="00CE5FF8" w:rsidP="00C3654D">
            <w:pPr>
              <w:tabs>
                <w:tab w:val="decimal" w:pos="1135"/>
              </w:tabs>
              <w:rPr>
                <w:rFonts w:ascii="Times New Roman" w:hAnsi="Times New Roman" w:cs="Times New Roman"/>
              </w:rPr>
            </w:pPr>
            <w:r w:rsidRPr="00CE5FF8">
              <w:rPr>
                <w:rFonts w:ascii="Times New Roman" w:hAnsi="Times New Roman" w:cs="Times New Roman"/>
              </w:rPr>
              <w:t>94</w:t>
            </w:r>
          </w:p>
        </w:tc>
        <w:tc>
          <w:tcPr>
            <w:tcW w:w="2154" w:type="dxa"/>
            <w:tcBorders>
              <w:top w:val="nil"/>
              <w:bottom w:val="nil"/>
            </w:tcBorders>
          </w:tcPr>
          <w:p w14:paraId="6F7579A3" w14:textId="0E88FB6A" w:rsidR="00CE5FF8" w:rsidRPr="00CE5FF8" w:rsidRDefault="00CE5FF8" w:rsidP="00C3654D">
            <w:pPr>
              <w:tabs>
                <w:tab w:val="decimal" w:pos="1107"/>
              </w:tabs>
              <w:rPr>
                <w:rFonts w:ascii="Times New Roman" w:hAnsi="Times New Roman" w:cs="Times New Roman"/>
              </w:rPr>
            </w:pPr>
            <w:r w:rsidRPr="00CE5FF8">
              <w:rPr>
                <w:rFonts w:ascii="Times New Roman" w:hAnsi="Times New Roman" w:cs="Times New Roman"/>
              </w:rPr>
              <w:t>93</w:t>
            </w:r>
          </w:p>
        </w:tc>
        <w:tc>
          <w:tcPr>
            <w:tcW w:w="2154" w:type="dxa"/>
            <w:tcBorders>
              <w:top w:val="nil"/>
              <w:bottom w:val="nil"/>
            </w:tcBorders>
          </w:tcPr>
          <w:p w14:paraId="08C8602C" w14:textId="3821CFED" w:rsidR="00CE5FF8" w:rsidRPr="00CE5FF8" w:rsidRDefault="00CE5FF8" w:rsidP="00C3654D">
            <w:pPr>
              <w:tabs>
                <w:tab w:val="decimal" w:pos="1221"/>
              </w:tabs>
              <w:rPr>
                <w:rFonts w:ascii="Times New Roman" w:hAnsi="Times New Roman" w:cs="Times New Roman"/>
              </w:rPr>
            </w:pPr>
            <w:r w:rsidRPr="00CE5FF8">
              <w:rPr>
                <w:rFonts w:ascii="Times New Roman" w:hAnsi="Times New Roman" w:cs="Times New Roman"/>
              </w:rPr>
              <w:t>98</w:t>
            </w:r>
          </w:p>
        </w:tc>
      </w:tr>
      <w:tr w:rsidR="00CE5FF8" w:rsidRPr="00B824AA" w14:paraId="425AD1DD" w14:textId="77777777" w:rsidTr="00866620">
        <w:tc>
          <w:tcPr>
            <w:tcW w:w="2551" w:type="dxa"/>
            <w:tcBorders>
              <w:top w:val="nil"/>
              <w:bottom w:val="nil"/>
            </w:tcBorders>
            <w:vAlign w:val="center"/>
          </w:tcPr>
          <w:p w14:paraId="316E27E2" w14:textId="3131F16A" w:rsidR="00CE5FF8" w:rsidRPr="00B824AA" w:rsidRDefault="00CE5FF8" w:rsidP="00C3654D">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69FCD6F3" w14:textId="04327657" w:rsidR="00CE5FF8" w:rsidRPr="00CE5FF8" w:rsidRDefault="00CE5FF8" w:rsidP="00C3654D">
            <w:pPr>
              <w:tabs>
                <w:tab w:val="decimal" w:pos="1135"/>
              </w:tabs>
              <w:rPr>
                <w:rFonts w:ascii="Times New Roman" w:hAnsi="Times New Roman" w:cs="Times New Roman"/>
                <w:color w:val="000000"/>
              </w:rPr>
            </w:pPr>
            <w:r w:rsidRPr="00CE5FF8">
              <w:rPr>
                <w:rFonts w:ascii="Times New Roman" w:hAnsi="Times New Roman" w:cs="Times New Roman"/>
              </w:rPr>
              <w:t>93</w:t>
            </w:r>
          </w:p>
        </w:tc>
        <w:tc>
          <w:tcPr>
            <w:tcW w:w="2154" w:type="dxa"/>
            <w:tcBorders>
              <w:top w:val="nil"/>
              <w:bottom w:val="nil"/>
            </w:tcBorders>
          </w:tcPr>
          <w:p w14:paraId="23CF1DEB" w14:textId="1EF2A6C6" w:rsidR="00CE5FF8" w:rsidRPr="00CE5FF8" w:rsidRDefault="00CE5FF8" w:rsidP="00C3654D">
            <w:pPr>
              <w:tabs>
                <w:tab w:val="decimal" w:pos="1107"/>
              </w:tabs>
              <w:rPr>
                <w:rFonts w:ascii="Times New Roman" w:hAnsi="Times New Roman" w:cs="Times New Roman"/>
                <w:color w:val="000000"/>
              </w:rPr>
            </w:pPr>
            <w:r w:rsidRPr="00CE5FF8">
              <w:rPr>
                <w:rFonts w:ascii="Times New Roman" w:hAnsi="Times New Roman" w:cs="Times New Roman"/>
              </w:rPr>
              <w:t>92</w:t>
            </w:r>
          </w:p>
        </w:tc>
        <w:tc>
          <w:tcPr>
            <w:tcW w:w="2154" w:type="dxa"/>
            <w:tcBorders>
              <w:top w:val="nil"/>
              <w:bottom w:val="nil"/>
            </w:tcBorders>
          </w:tcPr>
          <w:p w14:paraId="5BBB7A97" w14:textId="5DF4B220" w:rsidR="00CE5FF8" w:rsidRPr="00CE5FF8" w:rsidRDefault="00CE5FF8" w:rsidP="00C3654D">
            <w:pPr>
              <w:tabs>
                <w:tab w:val="decimal" w:pos="1221"/>
              </w:tabs>
              <w:rPr>
                <w:rFonts w:ascii="Times New Roman" w:hAnsi="Times New Roman" w:cs="Times New Roman"/>
                <w:color w:val="000000"/>
              </w:rPr>
            </w:pPr>
            <w:r w:rsidRPr="00CE5FF8">
              <w:rPr>
                <w:rFonts w:ascii="Times New Roman" w:hAnsi="Times New Roman" w:cs="Times New Roman"/>
              </w:rPr>
              <w:t>95</w:t>
            </w:r>
          </w:p>
        </w:tc>
      </w:tr>
      <w:tr w:rsidR="00C3654D" w:rsidRPr="00B824AA" w14:paraId="18EA52F8" w14:textId="77777777" w:rsidTr="00CC3BD8">
        <w:tc>
          <w:tcPr>
            <w:tcW w:w="2551" w:type="dxa"/>
            <w:tcBorders>
              <w:top w:val="nil"/>
              <w:bottom w:val="nil"/>
            </w:tcBorders>
          </w:tcPr>
          <w:p w14:paraId="345CE3D0" w14:textId="27C836C4" w:rsidR="00C3654D" w:rsidRPr="00B824AA" w:rsidRDefault="00C3654D" w:rsidP="00C3654D">
            <w:pPr>
              <w:ind w:left="316"/>
              <w:rPr>
                <w:rFonts w:ascii="Times New Roman" w:hAnsi="Times New Roman" w:cs="Times New Roman"/>
              </w:rPr>
            </w:pPr>
          </w:p>
          <w:p w14:paraId="446A4909" w14:textId="2F56EA07" w:rsidR="00C3654D" w:rsidRPr="00B824AA" w:rsidRDefault="00C3654D" w:rsidP="00C3654D">
            <w:pPr>
              <w:ind w:left="316"/>
              <w:rPr>
                <w:rFonts w:ascii="Times New Roman" w:hAnsi="Times New Roman" w:cs="Times New Roman"/>
              </w:rPr>
            </w:pPr>
            <w:r w:rsidRPr="00B824AA">
              <w:rPr>
                <w:rFonts w:ascii="Times New Roman" w:hAnsi="Times New Roman" w:cs="Times New Roman"/>
              </w:rPr>
              <w:t>Palenie papierosów</w:t>
            </w:r>
          </w:p>
        </w:tc>
        <w:tc>
          <w:tcPr>
            <w:tcW w:w="2154" w:type="dxa"/>
            <w:tcBorders>
              <w:top w:val="nil"/>
              <w:bottom w:val="nil"/>
            </w:tcBorders>
            <w:vAlign w:val="bottom"/>
          </w:tcPr>
          <w:p w14:paraId="3C80C380" w14:textId="6E1FD4EC" w:rsidR="00C3654D" w:rsidRPr="00B824AA" w:rsidRDefault="00C3654D" w:rsidP="00C3654D">
            <w:pPr>
              <w:tabs>
                <w:tab w:val="decimal" w:pos="1135"/>
              </w:tabs>
              <w:rPr>
                <w:rFonts w:ascii="Times New Roman" w:hAnsi="Times New Roman" w:cs="Times New Roman"/>
              </w:rPr>
            </w:pPr>
          </w:p>
        </w:tc>
        <w:tc>
          <w:tcPr>
            <w:tcW w:w="2154" w:type="dxa"/>
            <w:tcBorders>
              <w:top w:val="nil"/>
              <w:bottom w:val="nil"/>
            </w:tcBorders>
            <w:vAlign w:val="bottom"/>
          </w:tcPr>
          <w:p w14:paraId="32D8C830" w14:textId="66E158FD" w:rsidR="00C3654D" w:rsidRPr="00B824AA" w:rsidRDefault="00C3654D" w:rsidP="00C3654D">
            <w:pPr>
              <w:tabs>
                <w:tab w:val="decimal" w:pos="1107"/>
              </w:tabs>
              <w:rPr>
                <w:rFonts w:ascii="Times New Roman" w:hAnsi="Times New Roman" w:cs="Times New Roman"/>
              </w:rPr>
            </w:pPr>
          </w:p>
        </w:tc>
        <w:tc>
          <w:tcPr>
            <w:tcW w:w="2154" w:type="dxa"/>
            <w:tcBorders>
              <w:top w:val="nil"/>
              <w:bottom w:val="nil"/>
            </w:tcBorders>
            <w:vAlign w:val="bottom"/>
          </w:tcPr>
          <w:p w14:paraId="4184A63D" w14:textId="366F4CC8" w:rsidR="00C3654D" w:rsidRPr="00B824AA" w:rsidRDefault="00C3654D" w:rsidP="00C3654D">
            <w:pPr>
              <w:tabs>
                <w:tab w:val="decimal" w:pos="1221"/>
              </w:tabs>
              <w:rPr>
                <w:rFonts w:ascii="Times New Roman" w:hAnsi="Times New Roman" w:cs="Times New Roman"/>
              </w:rPr>
            </w:pPr>
          </w:p>
        </w:tc>
      </w:tr>
      <w:tr w:rsidR="000B6955" w:rsidRPr="00B824AA" w14:paraId="4FC77316" w14:textId="77777777" w:rsidTr="00D9615A">
        <w:tc>
          <w:tcPr>
            <w:tcW w:w="2551" w:type="dxa"/>
            <w:tcBorders>
              <w:top w:val="nil"/>
              <w:bottom w:val="nil"/>
            </w:tcBorders>
          </w:tcPr>
          <w:p w14:paraId="707DC1A4" w14:textId="77777777" w:rsidR="000B6955" w:rsidRPr="00B824AA" w:rsidRDefault="000B6955" w:rsidP="00E51A8E">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vAlign w:val="bottom"/>
          </w:tcPr>
          <w:p w14:paraId="237AB0B5" w14:textId="347E3B8C" w:rsidR="000B6955" w:rsidRPr="000B6955" w:rsidRDefault="000B6955" w:rsidP="00E51A8E">
            <w:pPr>
              <w:tabs>
                <w:tab w:val="decimal" w:pos="1135"/>
              </w:tabs>
              <w:rPr>
                <w:rFonts w:ascii="Times New Roman" w:hAnsi="Times New Roman" w:cs="Times New Roman"/>
              </w:rPr>
            </w:pPr>
            <w:r w:rsidRPr="000B6955">
              <w:rPr>
                <w:rFonts w:ascii="Times New Roman" w:hAnsi="Times New Roman" w:cs="Times New Roman"/>
                <w:color w:val="000000"/>
              </w:rPr>
              <w:t>87</w:t>
            </w:r>
          </w:p>
        </w:tc>
        <w:tc>
          <w:tcPr>
            <w:tcW w:w="2154" w:type="dxa"/>
            <w:tcBorders>
              <w:top w:val="nil"/>
              <w:bottom w:val="nil"/>
            </w:tcBorders>
            <w:vAlign w:val="bottom"/>
          </w:tcPr>
          <w:p w14:paraId="34D9DA9C" w14:textId="69BF2F77" w:rsidR="000B6955" w:rsidRPr="000B6955" w:rsidRDefault="000B6955" w:rsidP="00E51A8E">
            <w:pPr>
              <w:tabs>
                <w:tab w:val="decimal" w:pos="1107"/>
              </w:tabs>
              <w:rPr>
                <w:rFonts w:ascii="Times New Roman" w:hAnsi="Times New Roman" w:cs="Times New Roman"/>
              </w:rPr>
            </w:pPr>
            <w:r w:rsidRPr="000B6955">
              <w:rPr>
                <w:rFonts w:ascii="Times New Roman" w:hAnsi="Times New Roman" w:cs="Times New Roman"/>
                <w:color w:val="000000"/>
              </w:rPr>
              <w:t>84</w:t>
            </w:r>
          </w:p>
        </w:tc>
        <w:tc>
          <w:tcPr>
            <w:tcW w:w="2154" w:type="dxa"/>
            <w:tcBorders>
              <w:top w:val="nil"/>
              <w:bottom w:val="nil"/>
            </w:tcBorders>
            <w:vAlign w:val="bottom"/>
          </w:tcPr>
          <w:p w14:paraId="24A457C2" w14:textId="668CDE9D" w:rsidR="000B6955" w:rsidRPr="000B6955" w:rsidRDefault="000B6955" w:rsidP="00E51A8E">
            <w:pPr>
              <w:tabs>
                <w:tab w:val="decimal" w:pos="1221"/>
              </w:tabs>
              <w:rPr>
                <w:rFonts w:ascii="Times New Roman" w:hAnsi="Times New Roman" w:cs="Times New Roman"/>
              </w:rPr>
            </w:pPr>
            <w:r w:rsidRPr="000B6955">
              <w:rPr>
                <w:rFonts w:ascii="Times New Roman" w:hAnsi="Times New Roman" w:cs="Times New Roman"/>
                <w:color w:val="000000"/>
              </w:rPr>
              <w:t>96</w:t>
            </w:r>
          </w:p>
        </w:tc>
      </w:tr>
      <w:tr w:rsidR="000B6955" w:rsidRPr="00B824AA" w14:paraId="6EA72640" w14:textId="77777777" w:rsidTr="00D9615A">
        <w:tc>
          <w:tcPr>
            <w:tcW w:w="2551" w:type="dxa"/>
            <w:tcBorders>
              <w:top w:val="nil"/>
              <w:bottom w:val="nil"/>
            </w:tcBorders>
          </w:tcPr>
          <w:p w14:paraId="3196E304" w14:textId="77777777" w:rsidR="000B6955" w:rsidRPr="00B824AA" w:rsidRDefault="000B6955" w:rsidP="00E51A8E">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vAlign w:val="bottom"/>
          </w:tcPr>
          <w:p w14:paraId="048FE9FF" w14:textId="45452CF0" w:rsidR="000B6955" w:rsidRPr="000B6955" w:rsidRDefault="000B6955" w:rsidP="00E51A8E">
            <w:pPr>
              <w:tabs>
                <w:tab w:val="decimal" w:pos="1135"/>
              </w:tabs>
              <w:rPr>
                <w:rFonts w:ascii="Times New Roman" w:hAnsi="Times New Roman" w:cs="Times New Roman"/>
              </w:rPr>
            </w:pPr>
            <w:r w:rsidRPr="000B6955">
              <w:rPr>
                <w:rFonts w:ascii="Times New Roman" w:hAnsi="Times New Roman" w:cs="Times New Roman"/>
                <w:color w:val="000000"/>
              </w:rPr>
              <w:t>92</w:t>
            </w:r>
          </w:p>
        </w:tc>
        <w:tc>
          <w:tcPr>
            <w:tcW w:w="2154" w:type="dxa"/>
            <w:tcBorders>
              <w:top w:val="nil"/>
              <w:bottom w:val="nil"/>
            </w:tcBorders>
            <w:vAlign w:val="bottom"/>
          </w:tcPr>
          <w:p w14:paraId="20109170" w14:textId="09D9CF5A" w:rsidR="000B6955" w:rsidRPr="000B6955" w:rsidRDefault="000B6955" w:rsidP="00E51A8E">
            <w:pPr>
              <w:tabs>
                <w:tab w:val="decimal" w:pos="1107"/>
              </w:tabs>
              <w:rPr>
                <w:rFonts w:ascii="Times New Roman" w:hAnsi="Times New Roman" w:cs="Times New Roman"/>
              </w:rPr>
            </w:pPr>
            <w:r w:rsidRPr="000B6955">
              <w:rPr>
                <w:rFonts w:ascii="Times New Roman" w:hAnsi="Times New Roman" w:cs="Times New Roman"/>
                <w:color w:val="000000"/>
              </w:rPr>
              <w:t>90</w:t>
            </w:r>
          </w:p>
        </w:tc>
        <w:tc>
          <w:tcPr>
            <w:tcW w:w="2154" w:type="dxa"/>
            <w:tcBorders>
              <w:top w:val="nil"/>
              <w:bottom w:val="nil"/>
            </w:tcBorders>
            <w:vAlign w:val="bottom"/>
          </w:tcPr>
          <w:p w14:paraId="36A83933" w14:textId="03F47336" w:rsidR="000B6955" w:rsidRPr="000B6955" w:rsidRDefault="000B6955" w:rsidP="00E51A8E">
            <w:pPr>
              <w:tabs>
                <w:tab w:val="decimal" w:pos="1221"/>
              </w:tabs>
              <w:rPr>
                <w:rFonts w:ascii="Times New Roman" w:hAnsi="Times New Roman" w:cs="Times New Roman"/>
              </w:rPr>
            </w:pPr>
            <w:r w:rsidRPr="000B6955">
              <w:rPr>
                <w:rFonts w:ascii="Times New Roman" w:hAnsi="Times New Roman" w:cs="Times New Roman"/>
                <w:color w:val="000000"/>
              </w:rPr>
              <w:t>98</w:t>
            </w:r>
          </w:p>
        </w:tc>
      </w:tr>
      <w:tr w:rsidR="000B6955" w:rsidRPr="00B824AA" w14:paraId="652DDE58" w14:textId="77777777" w:rsidTr="00D9615A">
        <w:tc>
          <w:tcPr>
            <w:tcW w:w="2551" w:type="dxa"/>
            <w:tcBorders>
              <w:top w:val="nil"/>
              <w:bottom w:val="nil"/>
            </w:tcBorders>
          </w:tcPr>
          <w:p w14:paraId="1D736574" w14:textId="77777777" w:rsidR="000B6955" w:rsidRPr="00B824AA" w:rsidRDefault="000B6955" w:rsidP="00E51A8E">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vAlign w:val="bottom"/>
          </w:tcPr>
          <w:p w14:paraId="6F07E4E3" w14:textId="53F484FB" w:rsidR="000B6955" w:rsidRPr="000B6955" w:rsidRDefault="000B6955" w:rsidP="00E51A8E">
            <w:pPr>
              <w:tabs>
                <w:tab w:val="decimal" w:pos="1135"/>
              </w:tabs>
              <w:rPr>
                <w:rFonts w:ascii="Times New Roman" w:hAnsi="Times New Roman" w:cs="Times New Roman"/>
              </w:rPr>
            </w:pPr>
            <w:r w:rsidRPr="000B6955">
              <w:rPr>
                <w:rFonts w:ascii="Times New Roman" w:hAnsi="Times New Roman" w:cs="Times New Roman"/>
                <w:color w:val="000000"/>
              </w:rPr>
              <w:t>87</w:t>
            </w:r>
          </w:p>
        </w:tc>
        <w:tc>
          <w:tcPr>
            <w:tcW w:w="2154" w:type="dxa"/>
            <w:tcBorders>
              <w:top w:val="nil"/>
              <w:bottom w:val="nil"/>
            </w:tcBorders>
            <w:vAlign w:val="bottom"/>
          </w:tcPr>
          <w:p w14:paraId="1CE4B8D3" w14:textId="669E6B05" w:rsidR="000B6955" w:rsidRPr="000B6955" w:rsidRDefault="000B6955" w:rsidP="00E51A8E">
            <w:pPr>
              <w:tabs>
                <w:tab w:val="decimal" w:pos="1107"/>
              </w:tabs>
              <w:rPr>
                <w:rFonts w:ascii="Times New Roman" w:hAnsi="Times New Roman" w:cs="Times New Roman"/>
              </w:rPr>
            </w:pPr>
            <w:r w:rsidRPr="000B6955">
              <w:rPr>
                <w:rFonts w:ascii="Times New Roman" w:hAnsi="Times New Roman" w:cs="Times New Roman"/>
                <w:color w:val="000000"/>
              </w:rPr>
              <w:t>82</w:t>
            </w:r>
          </w:p>
        </w:tc>
        <w:tc>
          <w:tcPr>
            <w:tcW w:w="2154" w:type="dxa"/>
            <w:tcBorders>
              <w:top w:val="nil"/>
              <w:bottom w:val="nil"/>
            </w:tcBorders>
            <w:vAlign w:val="bottom"/>
          </w:tcPr>
          <w:p w14:paraId="0D9340E9" w14:textId="667C96D9" w:rsidR="000B6955" w:rsidRPr="000B6955" w:rsidRDefault="000B6955" w:rsidP="00E51A8E">
            <w:pPr>
              <w:tabs>
                <w:tab w:val="decimal" w:pos="1221"/>
              </w:tabs>
              <w:rPr>
                <w:rFonts w:ascii="Times New Roman" w:hAnsi="Times New Roman" w:cs="Times New Roman"/>
              </w:rPr>
            </w:pPr>
            <w:r w:rsidRPr="000B6955">
              <w:rPr>
                <w:rFonts w:ascii="Times New Roman" w:hAnsi="Times New Roman" w:cs="Times New Roman"/>
                <w:color w:val="000000"/>
              </w:rPr>
              <w:t>108</w:t>
            </w:r>
          </w:p>
        </w:tc>
      </w:tr>
      <w:tr w:rsidR="000B6955" w:rsidRPr="00B824AA" w14:paraId="1CB53345" w14:textId="77777777" w:rsidTr="00D9615A">
        <w:tc>
          <w:tcPr>
            <w:tcW w:w="2551" w:type="dxa"/>
            <w:tcBorders>
              <w:top w:val="nil"/>
              <w:bottom w:val="nil"/>
            </w:tcBorders>
          </w:tcPr>
          <w:p w14:paraId="4A137049" w14:textId="241C27E7" w:rsidR="000B6955" w:rsidRPr="00B824AA" w:rsidRDefault="000B6955" w:rsidP="00E51A8E">
            <w:pPr>
              <w:ind w:left="316"/>
              <w:rPr>
                <w:rFonts w:ascii="Times New Roman" w:hAnsi="Times New Roman" w:cs="Times New Roman"/>
                <w:color w:val="000000"/>
              </w:rPr>
            </w:pPr>
            <w:r>
              <w:rPr>
                <w:rFonts w:ascii="Times New Roman" w:hAnsi="Times New Roman" w:cs="Times New Roman"/>
                <w:color w:val="000000"/>
              </w:rPr>
              <w:t>2021</w:t>
            </w:r>
          </w:p>
        </w:tc>
        <w:tc>
          <w:tcPr>
            <w:tcW w:w="2154" w:type="dxa"/>
            <w:tcBorders>
              <w:top w:val="nil"/>
              <w:bottom w:val="nil"/>
            </w:tcBorders>
            <w:vAlign w:val="bottom"/>
          </w:tcPr>
          <w:p w14:paraId="66C781B3" w14:textId="54B40295" w:rsidR="000B6955" w:rsidRPr="000B6955" w:rsidRDefault="000B6955" w:rsidP="00E51A8E">
            <w:pPr>
              <w:tabs>
                <w:tab w:val="decimal" w:pos="1135"/>
              </w:tabs>
              <w:rPr>
                <w:rFonts w:ascii="Times New Roman" w:hAnsi="Times New Roman" w:cs="Times New Roman"/>
                <w:color w:val="000000"/>
              </w:rPr>
            </w:pPr>
            <w:r w:rsidRPr="000B6955">
              <w:rPr>
                <w:rFonts w:ascii="Times New Roman" w:hAnsi="Times New Roman" w:cs="Times New Roman"/>
                <w:color w:val="000000"/>
              </w:rPr>
              <w:t>86</w:t>
            </w:r>
          </w:p>
        </w:tc>
        <w:tc>
          <w:tcPr>
            <w:tcW w:w="2154" w:type="dxa"/>
            <w:tcBorders>
              <w:top w:val="nil"/>
              <w:bottom w:val="nil"/>
            </w:tcBorders>
            <w:vAlign w:val="bottom"/>
          </w:tcPr>
          <w:p w14:paraId="0EC7A06C" w14:textId="18D402B8" w:rsidR="000B6955" w:rsidRPr="000B6955" w:rsidRDefault="000B6955" w:rsidP="00E51A8E">
            <w:pPr>
              <w:tabs>
                <w:tab w:val="decimal" w:pos="1107"/>
              </w:tabs>
              <w:rPr>
                <w:rFonts w:ascii="Times New Roman" w:hAnsi="Times New Roman" w:cs="Times New Roman"/>
                <w:color w:val="000000"/>
              </w:rPr>
            </w:pPr>
            <w:r w:rsidRPr="000B6955">
              <w:rPr>
                <w:rFonts w:ascii="Times New Roman" w:hAnsi="Times New Roman" w:cs="Times New Roman"/>
                <w:color w:val="000000"/>
              </w:rPr>
              <w:t>82</w:t>
            </w:r>
          </w:p>
        </w:tc>
        <w:tc>
          <w:tcPr>
            <w:tcW w:w="2154" w:type="dxa"/>
            <w:tcBorders>
              <w:top w:val="nil"/>
              <w:bottom w:val="nil"/>
            </w:tcBorders>
            <w:vAlign w:val="bottom"/>
          </w:tcPr>
          <w:p w14:paraId="1B621465" w14:textId="18791899" w:rsidR="000B6955" w:rsidRPr="000B6955" w:rsidRDefault="000B6955" w:rsidP="00E51A8E">
            <w:pPr>
              <w:tabs>
                <w:tab w:val="decimal" w:pos="1221"/>
              </w:tabs>
              <w:rPr>
                <w:rFonts w:ascii="Times New Roman" w:hAnsi="Times New Roman" w:cs="Times New Roman"/>
                <w:color w:val="000000"/>
              </w:rPr>
            </w:pPr>
            <w:r w:rsidRPr="000B6955">
              <w:rPr>
                <w:rFonts w:ascii="Times New Roman" w:hAnsi="Times New Roman" w:cs="Times New Roman"/>
                <w:color w:val="000000"/>
              </w:rPr>
              <w:t>108</w:t>
            </w:r>
          </w:p>
        </w:tc>
      </w:tr>
      <w:tr w:rsidR="000B6955" w:rsidRPr="00B824AA" w14:paraId="7D1B8722" w14:textId="77777777" w:rsidTr="00D9615A">
        <w:tc>
          <w:tcPr>
            <w:tcW w:w="2551" w:type="dxa"/>
            <w:tcBorders>
              <w:top w:val="nil"/>
              <w:bottom w:val="nil"/>
            </w:tcBorders>
          </w:tcPr>
          <w:p w14:paraId="62485078" w14:textId="673388D4" w:rsidR="000B6955" w:rsidRPr="00B824AA" w:rsidRDefault="000B6955" w:rsidP="00E51A8E">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vAlign w:val="bottom"/>
          </w:tcPr>
          <w:p w14:paraId="0B43FA44" w14:textId="78B1718E" w:rsidR="000B6955" w:rsidRPr="000B6955" w:rsidRDefault="000B6955" w:rsidP="00E51A8E">
            <w:pPr>
              <w:tabs>
                <w:tab w:val="decimal" w:pos="1135"/>
              </w:tabs>
              <w:rPr>
                <w:rFonts w:ascii="Times New Roman" w:hAnsi="Times New Roman" w:cs="Times New Roman"/>
                <w:color w:val="000000"/>
              </w:rPr>
            </w:pPr>
            <w:r w:rsidRPr="000B6955">
              <w:rPr>
                <w:rFonts w:ascii="Times New Roman" w:hAnsi="Times New Roman" w:cs="Times New Roman"/>
                <w:color w:val="000000"/>
              </w:rPr>
              <w:t>86</w:t>
            </w:r>
          </w:p>
        </w:tc>
        <w:tc>
          <w:tcPr>
            <w:tcW w:w="2154" w:type="dxa"/>
            <w:tcBorders>
              <w:top w:val="nil"/>
              <w:bottom w:val="nil"/>
            </w:tcBorders>
            <w:vAlign w:val="bottom"/>
          </w:tcPr>
          <w:p w14:paraId="49E4C10B" w14:textId="4A5E5BD5" w:rsidR="000B6955" w:rsidRPr="000B6955" w:rsidRDefault="000B6955" w:rsidP="00E51A8E">
            <w:pPr>
              <w:tabs>
                <w:tab w:val="decimal" w:pos="1107"/>
              </w:tabs>
              <w:rPr>
                <w:rFonts w:ascii="Times New Roman" w:hAnsi="Times New Roman" w:cs="Times New Roman"/>
                <w:color w:val="000000"/>
              </w:rPr>
            </w:pPr>
            <w:r w:rsidRPr="000B6955">
              <w:rPr>
                <w:rFonts w:ascii="Times New Roman" w:hAnsi="Times New Roman" w:cs="Times New Roman"/>
                <w:color w:val="000000"/>
              </w:rPr>
              <w:t>81</w:t>
            </w:r>
          </w:p>
        </w:tc>
        <w:tc>
          <w:tcPr>
            <w:tcW w:w="2154" w:type="dxa"/>
            <w:tcBorders>
              <w:top w:val="nil"/>
              <w:bottom w:val="nil"/>
            </w:tcBorders>
            <w:vAlign w:val="bottom"/>
          </w:tcPr>
          <w:p w14:paraId="67CEA1A1" w14:textId="20F5CEFA" w:rsidR="000B6955" w:rsidRPr="000B6955" w:rsidRDefault="000B6955" w:rsidP="00E51A8E">
            <w:pPr>
              <w:tabs>
                <w:tab w:val="decimal" w:pos="1221"/>
              </w:tabs>
              <w:rPr>
                <w:rFonts w:ascii="Times New Roman" w:hAnsi="Times New Roman" w:cs="Times New Roman"/>
                <w:color w:val="000000"/>
              </w:rPr>
            </w:pPr>
            <w:r w:rsidRPr="000B6955">
              <w:rPr>
                <w:rFonts w:ascii="Times New Roman" w:hAnsi="Times New Roman" w:cs="Times New Roman"/>
                <w:color w:val="000000"/>
              </w:rPr>
              <w:t>108</w:t>
            </w:r>
          </w:p>
        </w:tc>
      </w:tr>
      <w:tr w:rsidR="008A2901" w:rsidRPr="00B824AA" w14:paraId="6936246C" w14:textId="77777777" w:rsidTr="00D9615A">
        <w:tc>
          <w:tcPr>
            <w:tcW w:w="2551" w:type="dxa"/>
            <w:tcBorders>
              <w:top w:val="nil"/>
              <w:bottom w:val="nil"/>
            </w:tcBorders>
          </w:tcPr>
          <w:p w14:paraId="11118C99" w14:textId="77777777" w:rsidR="00D9615A" w:rsidRPr="00B824AA" w:rsidRDefault="00D9615A" w:rsidP="00CC3BD8">
            <w:pPr>
              <w:ind w:left="316"/>
              <w:rPr>
                <w:rFonts w:ascii="Times New Roman" w:hAnsi="Times New Roman" w:cs="Times New Roman"/>
              </w:rPr>
            </w:pPr>
          </w:p>
          <w:p w14:paraId="2BB7BC8C" w14:textId="3D73730D" w:rsidR="008A2901" w:rsidRPr="00B824AA" w:rsidRDefault="008A2901" w:rsidP="00CC3BD8">
            <w:pPr>
              <w:ind w:left="316"/>
              <w:rPr>
                <w:rFonts w:ascii="Times New Roman" w:hAnsi="Times New Roman" w:cs="Times New Roman"/>
              </w:rPr>
            </w:pPr>
            <w:r w:rsidRPr="00B824AA">
              <w:rPr>
                <w:rFonts w:ascii="Times New Roman" w:hAnsi="Times New Roman" w:cs="Times New Roman"/>
              </w:rPr>
              <w:t>Zgony możliwe do uniknięcia</w:t>
            </w:r>
          </w:p>
        </w:tc>
        <w:tc>
          <w:tcPr>
            <w:tcW w:w="2154" w:type="dxa"/>
            <w:tcBorders>
              <w:top w:val="nil"/>
              <w:bottom w:val="nil"/>
            </w:tcBorders>
          </w:tcPr>
          <w:p w14:paraId="42C913E3" w14:textId="77777777" w:rsidR="008A2901" w:rsidRPr="00B824AA" w:rsidRDefault="008A2901" w:rsidP="00CC3BD8">
            <w:pPr>
              <w:tabs>
                <w:tab w:val="decimal" w:pos="1135"/>
              </w:tabs>
              <w:rPr>
                <w:rFonts w:ascii="Times New Roman" w:hAnsi="Times New Roman" w:cs="Times New Roman"/>
              </w:rPr>
            </w:pPr>
          </w:p>
        </w:tc>
        <w:tc>
          <w:tcPr>
            <w:tcW w:w="2154" w:type="dxa"/>
            <w:tcBorders>
              <w:top w:val="nil"/>
              <w:bottom w:val="nil"/>
            </w:tcBorders>
          </w:tcPr>
          <w:p w14:paraId="370CBAD1" w14:textId="77777777" w:rsidR="008A2901" w:rsidRPr="00B824AA" w:rsidRDefault="008A2901" w:rsidP="00CC3BD8">
            <w:pPr>
              <w:tabs>
                <w:tab w:val="decimal" w:pos="1107"/>
              </w:tabs>
              <w:rPr>
                <w:rFonts w:ascii="Times New Roman" w:hAnsi="Times New Roman" w:cs="Times New Roman"/>
              </w:rPr>
            </w:pPr>
          </w:p>
        </w:tc>
        <w:tc>
          <w:tcPr>
            <w:tcW w:w="2154" w:type="dxa"/>
            <w:tcBorders>
              <w:top w:val="nil"/>
              <w:bottom w:val="nil"/>
            </w:tcBorders>
          </w:tcPr>
          <w:p w14:paraId="7E67A51C" w14:textId="77777777" w:rsidR="008A2901" w:rsidRPr="00B824AA" w:rsidRDefault="008A2901" w:rsidP="00CC3BD8">
            <w:pPr>
              <w:tabs>
                <w:tab w:val="decimal" w:pos="1221"/>
              </w:tabs>
              <w:rPr>
                <w:rFonts w:ascii="Times New Roman" w:hAnsi="Times New Roman" w:cs="Times New Roman"/>
              </w:rPr>
            </w:pPr>
          </w:p>
        </w:tc>
      </w:tr>
      <w:tr w:rsidR="0043350C" w:rsidRPr="00B824AA" w14:paraId="6DEDB516" w14:textId="77777777" w:rsidTr="00D9615A">
        <w:tc>
          <w:tcPr>
            <w:tcW w:w="2551" w:type="dxa"/>
            <w:tcBorders>
              <w:top w:val="nil"/>
              <w:bottom w:val="nil"/>
            </w:tcBorders>
          </w:tcPr>
          <w:p w14:paraId="5D2029CF" w14:textId="77777777" w:rsidR="0043350C" w:rsidRPr="00B824AA" w:rsidRDefault="0043350C" w:rsidP="00E51A8E">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vAlign w:val="bottom"/>
          </w:tcPr>
          <w:p w14:paraId="35F0DD97" w14:textId="5C0D4CF0" w:rsidR="0043350C" w:rsidRPr="0043350C" w:rsidRDefault="0043350C" w:rsidP="00E51A8E">
            <w:pPr>
              <w:tabs>
                <w:tab w:val="decimal" w:pos="1135"/>
              </w:tabs>
              <w:rPr>
                <w:rFonts w:ascii="Times New Roman" w:hAnsi="Times New Roman" w:cs="Times New Roman"/>
              </w:rPr>
            </w:pPr>
            <w:r w:rsidRPr="0043350C">
              <w:rPr>
                <w:rFonts w:ascii="Times New Roman" w:hAnsi="Times New Roman" w:cs="Times New Roman"/>
                <w:color w:val="000000"/>
              </w:rPr>
              <w:t>64</w:t>
            </w:r>
          </w:p>
        </w:tc>
        <w:tc>
          <w:tcPr>
            <w:tcW w:w="2154" w:type="dxa"/>
            <w:tcBorders>
              <w:top w:val="nil"/>
              <w:bottom w:val="nil"/>
            </w:tcBorders>
            <w:vAlign w:val="bottom"/>
          </w:tcPr>
          <w:p w14:paraId="7471B934" w14:textId="054D768C" w:rsidR="0043350C" w:rsidRPr="0043350C" w:rsidRDefault="0043350C" w:rsidP="00E51A8E">
            <w:pPr>
              <w:tabs>
                <w:tab w:val="decimal" w:pos="1107"/>
              </w:tabs>
              <w:rPr>
                <w:rFonts w:ascii="Times New Roman" w:hAnsi="Times New Roman" w:cs="Times New Roman"/>
              </w:rPr>
            </w:pPr>
            <w:r w:rsidRPr="0043350C">
              <w:rPr>
                <w:rFonts w:ascii="Times New Roman" w:hAnsi="Times New Roman" w:cs="Times New Roman"/>
                <w:color w:val="000000"/>
              </w:rPr>
              <w:t>57</w:t>
            </w:r>
          </w:p>
        </w:tc>
        <w:tc>
          <w:tcPr>
            <w:tcW w:w="2154" w:type="dxa"/>
            <w:tcBorders>
              <w:top w:val="nil"/>
              <w:bottom w:val="nil"/>
            </w:tcBorders>
            <w:vAlign w:val="bottom"/>
          </w:tcPr>
          <w:p w14:paraId="49DAE771" w14:textId="07C986CB" w:rsidR="0043350C" w:rsidRPr="0043350C" w:rsidRDefault="0043350C" w:rsidP="00E51A8E">
            <w:pPr>
              <w:tabs>
                <w:tab w:val="decimal" w:pos="1221"/>
              </w:tabs>
              <w:rPr>
                <w:rFonts w:ascii="Times New Roman" w:hAnsi="Times New Roman" w:cs="Times New Roman"/>
              </w:rPr>
            </w:pPr>
            <w:r w:rsidRPr="0043350C">
              <w:rPr>
                <w:rFonts w:ascii="Times New Roman" w:hAnsi="Times New Roman" w:cs="Times New Roman"/>
                <w:color w:val="000000"/>
              </w:rPr>
              <w:t>110</w:t>
            </w:r>
          </w:p>
        </w:tc>
      </w:tr>
      <w:tr w:rsidR="0043350C" w:rsidRPr="00B824AA" w14:paraId="687BBDFD" w14:textId="77777777" w:rsidTr="00D9615A">
        <w:tc>
          <w:tcPr>
            <w:tcW w:w="2551" w:type="dxa"/>
            <w:tcBorders>
              <w:top w:val="nil"/>
              <w:bottom w:val="nil"/>
            </w:tcBorders>
          </w:tcPr>
          <w:p w14:paraId="5349016E" w14:textId="77777777" w:rsidR="0043350C" w:rsidRPr="00B824AA" w:rsidRDefault="0043350C" w:rsidP="00E51A8E">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vAlign w:val="bottom"/>
          </w:tcPr>
          <w:p w14:paraId="32C8BD4B" w14:textId="5944DA7C" w:rsidR="0043350C" w:rsidRPr="0043350C" w:rsidRDefault="0043350C" w:rsidP="00E51A8E">
            <w:pPr>
              <w:tabs>
                <w:tab w:val="decimal" w:pos="1135"/>
              </w:tabs>
              <w:rPr>
                <w:rFonts w:ascii="Times New Roman" w:hAnsi="Times New Roman" w:cs="Times New Roman"/>
              </w:rPr>
            </w:pPr>
            <w:r w:rsidRPr="0043350C">
              <w:rPr>
                <w:rFonts w:ascii="Times New Roman" w:hAnsi="Times New Roman" w:cs="Times New Roman"/>
                <w:color w:val="000000"/>
              </w:rPr>
              <w:t>67</w:t>
            </w:r>
          </w:p>
        </w:tc>
        <w:tc>
          <w:tcPr>
            <w:tcW w:w="2154" w:type="dxa"/>
            <w:tcBorders>
              <w:top w:val="nil"/>
              <w:bottom w:val="nil"/>
            </w:tcBorders>
            <w:vAlign w:val="bottom"/>
          </w:tcPr>
          <w:p w14:paraId="5A12A20A" w14:textId="417E9E7D" w:rsidR="0043350C" w:rsidRPr="0043350C" w:rsidRDefault="0043350C" w:rsidP="00E51A8E">
            <w:pPr>
              <w:tabs>
                <w:tab w:val="decimal" w:pos="1107"/>
              </w:tabs>
              <w:rPr>
                <w:rFonts w:ascii="Times New Roman" w:hAnsi="Times New Roman" w:cs="Times New Roman"/>
              </w:rPr>
            </w:pPr>
            <w:r w:rsidRPr="0043350C">
              <w:rPr>
                <w:rFonts w:ascii="Times New Roman" w:hAnsi="Times New Roman" w:cs="Times New Roman"/>
                <w:color w:val="000000"/>
              </w:rPr>
              <w:t>60</w:t>
            </w:r>
          </w:p>
        </w:tc>
        <w:tc>
          <w:tcPr>
            <w:tcW w:w="2154" w:type="dxa"/>
            <w:tcBorders>
              <w:top w:val="nil"/>
              <w:bottom w:val="nil"/>
            </w:tcBorders>
            <w:vAlign w:val="bottom"/>
          </w:tcPr>
          <w:p w14:paraId="17DF3187" w14:textId="3192FA47" w:rsidR="0043350C" w:rsidRPr="0043350C" w:rsidRDefault="0043350C" w:rsidP="00E51A8E">
            <w:pPr>
              <w:tabs>
                <w:tab w:val="decimal" w:pos="1221"/>
              </w:tabs>
              <w:rPr>
                <w:rFonts w:ascii="Times New Roman" w:hAnsi="Times New Roman" w:cs="Times New Roman"/>
              </w:rPr>
            </w:pPr>
            <w:r w:rsidRPr="0043350C">
              <w:rPr>
                <w:rFonts w:ascii="Times New Roman" w:hAnsi="Times New Roman" w:cs="Times New Roman"/>
                <w:color w:val="000000"/>
              </w:rPr>
              <w:t>114</w:t>
            </w:r>
          </w:p>
        </w:tc>
      </w:tr>
      <w:tr w:rsidR="0043350C" w:rsidRPr="00B824AA" w14:paraId="60C28EB2" w14:textId="77777777" w:rsidTr="00D9615A">
        <w:tc>
          <w:tcPr>
            <w:tcW w:w="2551" w:type="dxa"/>
            <w:tcBorders>
              <w:top w:val="nil"/>
              <w:bottom w:val="nil"/>
            </w:tcBorders>
          </w:tcPr>
          <w:p w14:paraId="6E348AB8" w14:textId="77777777" w:rsidR="0043350C" w:rsidRPr="00B824AA" w:rsidRDefault="0043350C" w:rsidP="00E51A8E">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vAlign w:val="bottom"/>
          </w:tcPr>
          <w:p w14:paraId="70BA9FB0" w14:textId="6E98399A" w:rsidR="0043350C" w:rsidRPr="0043350C" w:rsidRDefault="0043350C" w:rsidP="00E51A8E">
            <w:pPr>
              <w:tabs>
                <w:tab w:val="decimal" w:pos="1135"/>
              </w:tabs>
              <w:rPr>
                <w:rFonts w:ascii="Times New Roman" w:hAnsi="Times New Roman" w:cs="Times New Roman"/>
              </w:rPr>
            </w:pPr>
            <w:r w:rsidRPr="0043350C">
              <w:rPr>
                <w:rFonts w:ascii="Times New Roman" w:hAnsi="Times New Roman" w:cs="Times New Roman"/>
                <w:color w:val="000000"/>
              </w:rPr>
              <w:t>62</w:t>
            </w:r>
          </w:p>
        </w:tc>
        <w:tc>
          <w:tcPr>
            <w:tcW w:w="2154" w:type="dxa"/>
            <w:tcBorders>
              <w:top w:val="nil"/>
              <w:bottom w:val="nil"/>
            </w:tcBorders>
            <w:vAlign w:val="bottom"/>
          </w:tcPr>
          <w:p w14:paraId="428D240A" w14:textId="60E6B18B" w:rsidR="0043350C" w:rsidRPr="0043350C" w:rsidRDefault="0043350C" w:rsidP="00E51A8E">
            <w:pPr>
              <w:tabs>
                <w:tab w:val="decimal" w:pos="1107"/>
              </w:tabs>
              <w:rPr>
                <w:rFonts w:ascii="Times New Roman" w:hAnsi="Times New Roman" w:cs="Times New Roman"/>
              </w:rPr>
            </w:pPr>
            <w:r w:rsidRPr="0043350C">
              <w:rPr>
                <w:rFonts w:ascii="Times New Roman" w:hAnsi="Times New Roman" w:cs="Times New Roman"/>
                <w:color w:val="000000"/>
              </w:rPr>
              <w:t>55</w:t>
            </w:r>
          </w:p>
        </w:tc>
        <w:tc>
          <w:tcPr>
            <w:tcW w:w="2154" w:type="dxa"/>
            <w:tcBorders>
              <w:top w:val="nil"/>
              <w:bottom w:val="nil"/>
            </w:tcBorders>
            <w:vAlign w:val="bottom"/>
          </w:tcPr>
          <w:p w14:paraId="3BAC6C46" w14:textId="0D361138" w:rsidR="0043350C" w:rsidRPr="0043350C" w:rsidRDefault="0043350C" w:rsidP="00E51A8E">
            <w:pPr>
              <w:tabs>
                <w:tab w:val="decimal" w:pos="1221"/>
              </w:tabs>
              <w:rPr>
                <w:rFonts w:ascii="Times New Roman" w:hAnsi="Times New Roman" w:cs="Times New Roman"/>
              </w:rPr>
            </w:pPr>
            <w:r w:rsidRPr="0043350C">
              <w:rPr>
                <w:rFonts w:ascii="Times New Roman" w:hAnsi="Times New Roman" w:cs="Times New Roman"/>
                <w:color w:val="000000"/>
              </w:rPr>
              <w:t>108</w:t>
            </w:r>
          </w:p>
        </w:tc>
      </w:tr>
      <w:tr w:rsidR="0043350C" w:rsidRPr="00B824AA" w14:paraId="21B90305" w14:textId="77777777" w:rsidTr="00D9615A">
        <w:tc>
          <w:tcPr>
            <w:tcW w:w="2551" w:type="dxa"/>
            <w:tcBorders>
              <w:top w:val="nil"/>
              <w:bottom w:val="nil"/>
            </w:tcBorders>
            <w:vAlign w:val="center"/>
          </w:tcPr>
          <w:p w14:paraId="694B7902" w14:textId="77777777" w:rsidR="0043350C" w:rsidRPr="00B824AA" w:rsidRDefault="0043350C" w:rsidP="00E51A8E">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bottom w:val="nil"/>
            </w:tcBorders>
            <w:vAlign w:val="bottom"/>
          </w:tcPr>
          <w:p w14:paraId="0F6E411C" w14:textId="6E3F3E26" w:rsidR="0043350C" w:rsidRPr="0043350C" w:rsidRDefault="0043350C" w:rsidP="00E51A8E">
            <w:pPr>
              <w:tabs>
                <w:tab w:val="decimal" w:pos="1135"/>
              </w:tabs>
              <w:rPr>
                <w:rFonts w:ascii="Times New Roman" w:hAnsi="Times New Roman" w:cs="Times New Roman"/>
                <w:color w:val="000000"/>
              </w:rPr>
            </w:pPr>
            <w:r w:rsidRPr="0043350C">
              <w:rPr>
                <w:rFonts w:ascii="Times New Roman" w:hAnsi="Times New Roman" w:cs="Times New Roman"/>
                <w:color w:val="000000"/>
              </w:rPr>
              <w:t>51</w:t>
            </w:r>
          </w:p>
        </w:tc>
        <w:tc>
          <w:tcPr>
            <w:tcW w:w="2154" w:type="dxa"/>
            <w:tcBorders>
              <w:top w:val="nil"/>
              <w:bottom w:val="nil"/>
            </w:tcBorders>
            <w:vAlign w:val="bottom"/>
          </w:tcPr>
          <w:p w14:paraId="13C47A8F" w14:textId="0B402979" w:rsidR="0043350C" w:rsidRPr="0043350C" w:rsidRDefault="0043350C" w:rsidP="00E51A8E">
            <w:pPr>
              <w:tabs>
                <w:tab w:val="decimal" w:pos="1107"/>
              </w:tabs>
              <w:rPr>
                <w:rFonts w:ascii="Times New Roman" w:hAnsi="Times New Roman" w:cs="Times New Roman"/>
                <w:color w:val="000000"/>
              </w:rPr>
            </w:pPr>
            <w:r w:rsidRPr="0043350C">
              <w:rPr>
                <w:rFonts w:ascii="Times New Roman" w:hAnsi="Times New Roman" w:cs="Times New Roman"/>
                <w:color w:val="000000"/>
              </w:rPr>
              <w:t>45</w:t>
            </w:r>
          </w:p>
        </w:tc>
        <w:tc>
          <w:tcPr>
            <w:tcW w:w="2154" w:type="dxa"/>
            <w:tcBorders>
              <w:top w:val="nil"/>
              <w:bottom w:val="nil"/>
            </w:tcBorders>
            <w:vAlign w:val="bottom"/>
          </w:tcPr>
          <w:p w14:paraId="739E79F1" w14:textId="3783CF90" w:rsidR="0043350C" w:rsidRPr="0043350C" w:rsidRDefault="0043350C" w:rsidP="00E51A8E">
            <w:pPr>
              <w:tabs>
                <w:tab w:val="decimal" w:pos="1221"/>
              </w:tabs>
              <w:rPr>
                <w:rFonts w:ascii="Times New Roman" w:hAnsi="Times New Roman" w:cs="Times New Roman"/>
                <w:color w:val="000000"/>
              </w:rPr>
            </w:pPr>
            <w:r w:rsidRPr="0043350C">
              <w:rPr>
                <w:rFonts w:ascii="Times New Roman" w:hAnsi="Times New Roman" w:cs="Times New Roman"/>
                <w:color w:val="000000"/>
              </w:rPr>
              <w:t>107</w:t>
            </w:r>
          </w:p>
        </w:tc>
      </w:tr>
      <w:tr w:rsidR="0043350C" w:rsidRPr="00B824AA" w14:paraId="124A809D" w14:textId="77777777" w:rsidTr="00D9615A">
        <w:tc>
          <w:tcPr>
            <w:tcW w:w="2551" w:type="dxa"/>
            <w:tcBorders>
              <w:top w:val="nil"/>
              <w:bottom w:val="nil"/>
            </w:tcBorders>
            <w:vAlign w:val="center"/>
          </w:tcPr>
          <w:p w14:paraId="624F5042" w14:textId="4F34B2DE" w:rsidR="0043350C" w:rsidRPr="00B824AA" w:rsidRDefault="0043350C" w:rsidP="00E51A8E">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vAlign w:val="bottom"/>
          </w:tcPr>
          <w:p w14:paraId="17C6D6A9" w14:textId="56BEA186" w:rsidR="0043350C" w:rsidRPr="0043350C" w:rsidRDefault="0043350C" w:rsidP="00E51A8E">
            <w:pPr>
              <w:tabs>
                <w:tab w:val="decimal" w:pos="1135"/>
              </w:tabs>
              <w:rPr>
                <w:rFonts w:ascii="Times New Roman" w:hAnsi="Times New Roman" w:cs="Times New Roman"/>
                <w:color w:val="000000"/>
              </w:rPr>
            </w:pPr>
            <w:r w:rsidRPr="0043350C">
              <w:rPr>
                <w:rFonts w:ascii="Times New Roman" w:hAnsi="Times New Roman" w:cs="Times New Roman"/>
                <w:color w:val="000000"/>
              </w:rPr>
              <w:t>51</w:t>
            </w:r>
          </w:p>
        </w:tc>
        <w:tc>
          <w:tcPr>
            <w:tcW w:w="2154" w:type="dxa"/>
            <w:tcBorders>
              <w:top w:val="nil"/>
              <w:bottom w:val="nil"/>
            </w:tcBorders>
            <w:vAlign w:val="bottom"/>
          </w:tcPr>
          <w:p w14:paraId="4225CD56" w14:textId="6A478631" w:rsidR="0043350C" w:rsidRPr="0043350C" w:rsidRDefault="0043350C" w:rsidP="00E51A8E">
            <w:pPr>
              <w:tabs>
                <w:tab w:val="decimal" w:pos="1107"/>
              </w:tabs>
              <w:rPr>
                <w:rFonts w:ascii="Times New Roman" w:hAnsi="Times New Roman" w:cs="Times New Roman"/>
                <w:color w:val="000000"/>
              </w:rPr>
            </w:pPr>
            <w:r w:rsidRPr="0043350C">
              <w:rPr>
                <w:rFonts w:ascii="Times New Roman" w:hAnsi="Times New Roman" w:cs="Times New Roman"/>
                <w:color w:val="000000"/>
              </w:rPr>
              <w:t>45</w:t>
            </w:r>
          </w:p>
        </w:tc>
        <w:tc>
          <w:tcPr>
            <w:tcW w:w="2154" w:type="dxa"/>
            <w:tcBorders>
              <w:top w:val="nil"/>
              <w:bottom w:val="nil"/>
            </w:tcBorders>
            <w:vAlign w:val="bottom"/>
          </w:tcPr>
          <w:p w14:paraId="3F434212" w14:textId="54F3F0F3" w:rsidR="0043350C" w:rsidRPr="0043350C" w:rsidRDefault="0043350C" w:rsidP="00E51A8E">
            <w:pPr>
              <w:tabs>
                <w:tab w:val="decimal" w:pos="1221"/>
              </w:tabs>
              <w:rPr>
                <w:rFonts w:ascii="Times New Roman" w:hAnsi="Times New Roman" w:cs="Times New Roman"/>
                <w:color w:val="000000"/>
              </w:rPr>
            </w:pPr>
            <w:r w:rsidRPr="0043350C">
              <w:rPr>
                <w:rFonts w:ascii="Times New Roman" w:hAnsi="Times New Roman" w:cs="Times New Roman"/>
                <w:color w:val="000000"/>
              </w:rPr>
              <w:t>107</w:t>
            </w:r>
          </w:p>
        </w:tc>
      </w:tr>
      <w:tr w:rsidR="008A2901" w:rsidRPr="00B824AA" w14:paraId="332D0697" w14:textId="77777777" w:rsidTr="00D9615A">
        <w:tc>
          <w:tcPr>
            <w:tcW w:w="2551" w:type="dxa"/>
            <w:tcBorders>
              <w:top w:val="nil"/>
              <w:bottom w:val="nil"/>
            </w:tcBorders>
          </w:tcPr>
          <w:p w14:paraId="403BC63E" w14:textId="77777777" w:rsidR="00D9615A" w:rsidRPr="00B824AA" w:rsidRDefault="00D9615A" w:rsidP="00CC3BD8">
            <w:pPr>
              <w:ind w:left="316"/>
              <w:rPr>
                <w:rFonts w:ascii="Times New Roman" w:hAnsi="Times New Roman" w:cs="Times New Roman"/>
              </w:rPr>
            </w:pPr>
          </w:p>
          <w:p w14:paraId="22E937A1" w14:textId="51B5A305" w:rsidR="008A2901" w:rsidRPr="00B824AA" w:rsidRDefault="008A2901" w:rsidP="00CC3BD8">
            <w:pPr>
              <w:ind w:left="316"/>
              <w:rPr>
                <w:rFonts w:ascii="Times New Roman" w:hAnsi="Times New Roman" w:cs="Times New Roman"/>
              </w:rPr>
            </w:pPr>
            <w:r w:rsidRPr="00B824AA">
              <w:rPr>
                <w:rFonts w:ascii="Times New Roman" w:hAnsi="Times New Roman" w:cs="Times New Roman"/>
              </w:rPr>
              <w:t>Realizacja potrzeb: opieka zdrowotna</w:t>
            </w:r>
          </w:p>
        </w:tc>
        <w:tc>
          <w:tcPr>
            <w:tcW w:w="2154" w:type="dxa"/>
            <w:tcBorders>
              <w:top w:val="nil"/>
              <w:bottom w:val="nil"/>
            </w:tcBorders>
          </w:tcPr>
          <w:p w14:paraId="6807E3B8" w14:textId="77777777" w:rsidR="008A2901" w:rsidRPr="00B824AA" w:rsidRDefault="008A2901" w:rsidP="00CC3BD8">
            <w:pPr>
              <w:tabs>
                <w:tab w:val="decimal" w:pos="1135"/>
              </w:tabs>
              <w:rPr>
                <w:rFonts w:ascii="Times New Roman" w:hAnsi="Times New Roman" w:cs="Times New Roman"/>
              </w:rPr>
            </w:pPr>
          </w:p>
        </w:tc>
        <w:tc>
          <w:tcPr>
            <w:tcW w:w="2154" w:type="dxa"/>
            <w:tcBorders>
              <w:top w:val="nil"/>
              <w:bottom w:val="nil"/>
            </w:tcBorders>
          </w:tcPr>
          <w:p w14:paraId="11B7E795" w14:textId="77777777" w:rsidR="008A2901" w:rsidRPr="00B824AA" w:rsidRDefault="008A2901" w:rsidP="00CC3BD8">
            <w:pPr>
              <w:tabs>
                <w:tab w:val="decimal" w:pos="1107"/>
              </w:tabs>
              <w:rPr>
                <w:rFonts w:ascii="Times New Roman" w:hAnsi="Times New Roman" w:cs="Times New Roman"/>
              </w:rPr>
            </w:pPr>
          </w:p>
        </w:tc>
        <w:tc>
          <w:tcPr>
            <w:tcW w:w="2154" w:type="dxa"/>
            <w:tcBorders>
              <w:top w:val="nil"/>
              <w:bottom w:val="nil"/>
            </w:tcBorders>
          </w:tcPr>
          <w:p w14:paraId="573BFB85" w14:textId="77777777" w:rsidR="008A2901" w:rsidRPr="00B824AA" w:rsidRDefault="008A2901" w:rsidP="00CC3BD8">
            <w:pPr>
              <w:tabs>
                <w:tab w:val="decimal" w:pos="1221"/>
              </w:tabs>
              <w:rPr>
                <w:rFonts w:ascii="Times New Roman" w:hAnsi="Times New Roman" w:cs="Times New Roman"/>
              </w:rPr>
            </w:pPr>
          </w:p>
        </w:tc>
      </w:tr>
      <w:tr w:rsidR="00FD5D14" w:rsidRPr="00B824AA" w14:paraId="2AF7FBC4" w14:textId="77777777" w:rsidTr="00866620">
        <w:tc>
          <w:tcPr>
            <w:tcW w:w="2551" w:type="dxa"/>
            <w:tcBorders>
              <w:top w:val="nil"/>
              <w:bottom w:val="nil"/>
            </w:tcBorders>
          </w:tcPr>
          <w:p w14:paraId="6162B08F" w14:textId="77777777" w:rsidR="00FD5D14" w:rsidRPr="00B824AA" w:rsidRDefault="00FD5D14" w:rsidP="00225883">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221C58C2" w14:textId="5FEA7A29" w:rsidR="00FD5D14" w:rsidRPr="00FD5D14" w:rsidRDefault="00FD5D14" w:rsidP="00225883">
            <w:pPr>
              <w:tabs>
                <w:tab w:val="decimal" w:pos="1135"/>
              </w:tabs>
              <w:rPr>
                <w:rFonts w:ascii="Times New Roman" w:hAnsi="Times New Roman" w:cs="Times New Roman"/>
              </w:rPr>
            </w:pPr>
            <w:r w:rsidRPr="00FD5D14">
              <w:rPr>
                <w:rFonts w:ascii="Times New Roman" w:hAnsi="Times New Roman" w:cs="Times New Roman"/>
              </w:rPr>
              <w:t>95</w:t>
            </w:r>
          </w:p>
        </w:tc>
        <w:tc>
          <w:tcPr>
            <w:tcW w:w="2154" w:type="dxa"/>
            <w:tcBorders>
              <w:top w:val="nil"/>
              <w:bottom w:val="nil"/>
            </w:tcBorders>
          </w:tcPr>
          <w:p w14:paraId="3485D927" w14:textId="415D5C7F" w:rsidR="00FD5D14" w:rsidRPr="00FD5D14" w:rsidRDefault="00FD5D14" w:rsidP="00225883">
            <w:pPr>
              <w:tabs>
                <w:tab w:val="decimal" w:pos="1107"/>
              </w:tabs>
              <w:rPr>
                <w:rFonts w:ascii="Times New Roman" w:hAnsi="Times New Roman" w:cs="Times New Roman"/>
              </w:rPr>
            </w:pPr>
            <w:r w:rsidRPr="00FD5D14">
              <w:rPr>
                <w:rFonts w:ascii="Times New Roman" w:hAnsi="Times New Roman" w:cs="Times New Roman"/>
              </w:rPr>
              <w:t>94</w:t>
            </w:r>
          </w:p>
        </w:tc>
        <w:tc>
          <w:tcPr>
            <w:tcW w:w="2154" w:type="dxa"/>
            <w:tcBorders>
              <w:top w:val="nil"/>
              <w:bottom w:val="nil"/>
            </w:tcBorders>
          </w:tcPr>
          <w:p w14:paraId="0DE87C5F" w14:textId="35B259AA" w:rsidR="00FD5D14" w:rsidRPr="00FD5D14" w:rsidRDefault="00FD5D14" w:rsidP="00225883">
            <w:pPr>
              <w:tabs>
                <w:tab w:val="decimal" w:pos="1221"/>
              </w:tabs>
              <w:rPr>
                <w:rFonts w:ascii="Times New Roman" w:hAnsi="Times New Roman" w:cs="Times New Roman"/>
              </w:rPr>
            </w:pPr>
            <w:r w:rsidRPr="00FD5D14">
              <w:rPr>
                <w:rFonts w:ascii="Times New Roman" w:hAnsi="Times New Roman" w:cs="Times New Roman"/>
              </w:rPr>
              <w:t>99</w:t>
            </w:r>
          </w:p>
        </w:tc>
      </w:tr>
      <w:tr w:rsidR="00FD5D14" w:rsidRPr="00B824AA" w14:paraId="6BC14181" w14:textId="77777777" w:rsidTr="00866620">
        <w:tc>
          <w:tcPr>
            <w:tcW w:w="2551" w:type="dxa"/>
            <w:tcBorders>
              <w:top w:val="nil"/>
              <w:bottom w:val="nil"/>
            </w:tcBorders>
          </w:tcPr>
          <w:p w14:paraId="06824AF9" w14:textId="77777777" w:rsidR="00FD5D14" w:rsidRPr="00B824AA" w:rsidRDefault="00FD5D14" w:rsidP="00225883">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4F82F1D9" w14:textId="1626AD52" w:rsidR="00FD5D14" w:rsidRPr="00FD5D14" w:rsidRDefault="00FD5D14" w:rsidP="00225883">
            <w:pPr>
              <w:tabs>
                <w:tab w:val="decimal" w:pos="1135"/>
              </w:tabs>
              <w:rPr>
                <w:rFonts w:ascii="Times New Roman" w:hAnsi="Times New Roman" w:cs="Times New Roman"/>
              </w:rPr>
            </w:pPr>
            <w:r w:rsidRPr="00FD5D14">
              <w:rPr>
                <w:rFonts w:ascii="Times New Roman" w:hAnsi="Times New Roman" w:cs="Times New Roman"/>
              </w:rPr>
              <w:t>96</w:t>
            </w:r>
          </w:p>
        </w:tc>
        <w:tc>
          <w:tcPr>
            <w:tcW w:w="2154" w:type="dxa"/>
            <w:tcBorders>
              <w:top w:val="nil"/>
              <w:bottom w:val="nil"/>
            </w:tcBorders>
          </w:tcPr>
          <w:p w14:paraId="6D84DEEE" w14:textId="64D3DF1B" w:rsidR="00FD5D14" w:rsidRPr="00FD5D14" w:rsidRDefault="00FD5D14" w:rsidP="00225883">
            <w:pPr>
              <w:tabs>
                <w:tab w:val="decimal" w:pos="1107"/>
              </w:tabs>
              <w:rPr>
                <w:rFonts w:ascii="Times New Roman" w:hAnsi="Times New Roman" w:cs="Times New Roman"/>
              </w:rPr>
            </w:pPr>
            <w:r w:rsidRPr="00FD5D14">
              <w:rPr>
                <w:rFonts w:ascii="Times New Roman" w:hAnsi="Times New Roman" w:cs="Times New Roman"/>
              </w:rPr>
              <w:t>95</w:t>
            </w:r>
          </w:p>
        </w:tc>
        <w:tc>
          <w:tcPr>
            <w:tcW w:w="2154" w:type="dxa"/>
            <w:tcBorders>
              <w:top w:val="nil"/>
              <w:bottom w:val="nil"/>
            </w:tcBorders>
          </w:tcPr>
          <w:p w14:paraId="1D694D25" w14:textId="2F22F11E" w:rsidR="00FD5D14" w:rsidRPr="00FD5D14" w:rsidRDefault="00FD5D14" w:rsidP="00225883">
            <w:pPr>
              <w:tabs>
                <w:tab w:val="decimal" w:pos="1221"/>
              </w:tabs>
              <w:rPr>
                <w:rFonts w:ascii="Times New Roman" w:hAnsi="Times New Roman" w:cs="Times New Roman"/>
              </w:rPr>
            </w:pPr>
            <w:r w:rsidRPr="00FD5D14">
              <w:rPr>
                <w:rFonts w:ascii="Times New Roman" w:hAnsi="Times New Roman" w:cs="Times New Roman"/>
              </w:rPr>
              <w:t>98</w:t>
            </w:r>
          </w:p>
        </w:tc>
      </w:tr>
      <w:tr w:rsidR="00FD5D14" w:rsidRPr="00B824AA" w14:paraId="5907CBE2" w14:textId="77777777" w:rsidTr="00866620">
        <w:tc>
          <w:tcPr>
            <w:tcW w:w="2551" w:type="dxa"/>
            <w:tcBorders>
              <w:top w:val="nil"/>
              <w:bottom w:val="nil"/>
            </w:tcBorders>
          </w:tcPr>
          <w:p w14:paraId="6FFAF37D" w14:textId="77777777" w:rsidR="00FD5D14" w:rsidRPr="00B824AA" w:rsidRDefault="00FD5D14" w:rsidP="00225883">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095BE58B" w14:textId="6A88CB5C" w:rsidR="00FD5D14" w:rsidRPr="00FD5D14" w:rsidRDefault="00FD5D14" w:rsidP="00225883">
            <w:pPr>
              <w:tabs>
                <w:tab w:val="decimal" w:pos="1135"/>
              </w:tabs>
              <w:rPr>
                <w:rFonts w:ascii="Times New Roman" w:hAnsi="Times New Roman" w:cs="Times New Roman"/>
              </w:rPr>
            </w:pPr>
            <w:r w:rsidRPr="00FD5D14">
              <w:rPr>
                <w:rFonts w:ascii="Times New Roman" w:hAnsi="Times New Roman" w:cs="Times New Roman"/>
              </w:rPr>
              <w:t>100</w:t>
            </w:r>
          </w:p>
        </w:tc>
        <w:tc>
          <w:tcPr>
            <w:tcW w:w="2154" w:type="dxa"/>
            <w:tcBorders>
              <w:top w:val="nil"/>
              <w:bottom w:val="nil"/>
            </w:tcBorders>
          </w:tcPr>
          <w:p w14:paraId="2581C4F6" w14:textId="1CEE82DB" w:rsidR="00FD5D14" w:rsidRPr="00FD5D14" w:rsidRDefault="00FD5D14" w:rsidP="00225883">
            <w:pPr>
              <w:tabs>
                <w:tab w:val="decimal" w:pos="1107"/>
              </w:tabs>
              <w:rPr>
                <w:rFonts w:ascii="Times New Roman" w:hAnsi="Times New Roman" w:cs="Times New Roman"/>
              </w:rPr>
            </w:pPr>
            <w:r w:rsidRPr="00FD5D14">
              <w:rPr>
                <w:rFonts w:ascii="Times New Roman" w:hAnsi="Times New Roman" w:cs="Times New Roman"/>
              </w:rPr>
              <w:t>99</w:t>
            </w:r>
          </w:p>
        </w:tc>
        <w:tc>
          <w:tcPr>
            <w:tcW w:w="2154" w:type="dxa"/>
            <w:tcBorders>
              <w:top w:val="nil"/>
              <w:bottom w:val="nil"/>
            </w:tcBorders>
          </w:tcPr>
          <w:p w14:paraId="7E6DE56F" w14:textId="051EDDC2" w:rsidR="00FD5D14" w:rsidRPr="00FD5D14" w:rsidRDefault="00FD5D14" w:rsidP="00225883">
            <w:pPr>
              <w:tabs>
                <w:tab w:val="decimal" w:pos="1221"/>
              </w:tabs>
              <w:rPr>
                <w:rFonts w:ascii="Times New Roman" w:hAnsi="Times New Roman" w:cs="Times New Roman"/>
              </w:rPr>
            </w:pPr>
            <w:r w:rsidRPr="00FD5D14">
              <w:rPr>
                <w:rFonts w:ascii="Times New Roman" w:hAnsi="Times New Roman" w:cs="Times New Roman"/>
              </w:rPr>
              <w:t>100</w:t>
            </w:r>
          </w:p>
        </w:tc>
      </w:tr>
      <w:tr w:rsidR="00FD5D14" w:rsidRPr="00B824AA" w14:paraId="6CA1438B" w14:textId="77777777" w:rsidTr="00866620">
        <w:tc>
          <w:tcPr>
            <w:tcW w:w="2551" w:type="dxa"/>
            <w:tcBorders>
              <w:top w:val="nil"/>
              <w:bottom w:val="nil"/>
            </w:tcBorders>
            <w:vAlign w:val="center"/>
          </w:tcPr>
          <w:p w14:paraId="503100AE" w14:textId="77777777" w:rsidR="00FD5D14" w:rsidRPr="00B824AA" w:rsidRDefault="00FD5D14" w:rsidP="00225883">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bottom w:val="nil"/>
            </w:tcBorders>
          </w:tcPr>
          <w:p w14:paraId="02F3E9FB" w14:textId="0C2E18EC" w:rsidR="00FD5D14" w:rsidRPr="00FD5D14" w:rsidRDefault="00FD5D14" w:rsidP="00225883">
            <w:pPr>
              <w:tabs>
                <w:tab w:val="decimal" w:pos="1135"/>
              </w:tabs>
              <w:rPr>
                <w:rFonts w:ascii="Times New Roman" w:hAnsi="Times New Roman" w:cs="Times New Roman"/>
                <w:color w:val="000000"/>
              </w:rPr>
            </w:pPr>
            <w:r w:rsidRPr="00FD5D14">
              <w:rPr>
                <w:rFonts w:ascii="Times New Roman" w:hAnsi="Times New Roman" w:cs="Times New Roman"/>
              </w:rPr>
              <w:t>99</w:t>
            </w:r>
          </w:p>
        </w:tc>
        <w:tc>
          <w:tcPr>
            <w:tcW w:w="2154" w:type="dxa"/>
            <w:tcBorders>
              <w:top w:val="nil"/>
              <w:bottom w:val="nil"/>
            </w:tcBorders>
          </w:tcPr>
          <w:p w14:paraId="626402B2" w14:textId="5F7EC71C" w:rsidR="00FD5D14" w:rsidRPr="00FD5D14" w:rsidRDefault="00FD5D14" w:rsidP="00225883">
            <w:pPr>
              <w:tabs>
                <w:tab w:val="decimal" w:pos="1107"/>
              </w:tabs>
              <w:rPr>
                <w:rFonts w:ascii="Times New Roman" w:hAnsi="Times New Roman" w:cs="Times New Roman"/>
                <w:color w:val="000000"/>
              </w:rPr>
            </w:pPr>
            <w:r w:rsidRPr="00FD5D14">
              <w:rPr>
                <w:rFonts w:ascii="Times New Roman" w:hAnsi="Times New Roman" w:cs="Times New Roman"/>
              </w:rPr>
              <w:t>99</w:t>
            </w:r>
          </w:p>
        </w:tc>
        <w:tc>
          <w:tcPr>
            <w:tcW w:w="2154" w:type="dxa"/>
            <w:tcBorders>
              <w:top w:val="nil"/>
              <w:bottom w:val="nil"/>
            </w:tcBorders>
          </w:tcPr>
          <w:p w14:paraId="31C84F91" w14:textId="1DA971EA" w:rsidR="00FD5D14" w:rsidRPr="00FD5D14" w:rsidRDefault="00FD5D14" w:rsidP="00225883">
            <w:pPr>
              <w:tabs>
                <w:tab w:val="decimal" w:pos="1221"/>
              </w:tabs>
              <w:rPr>
                <w:rFonts w:ascii="Times New Roman" w:hAnsi="Times New Roman" w:cs="Times New Roman"/>
                <w:color w:val="000000"/>
              </w:rPr>
            </w:pPr>
            <w:r w:rsidRPr="00FD5D14">
              <w:rPr>
                <w:rFonts w:ascii="Times New Roman" w:hAnsi="Times New Roman" w:cs="Times New Roman"/>
              </w:rPr>
              <w:t>100</w:t>
            </w:r>
          </w:p>
        </w:tc>
      </w:tr>
      <w:tr w:rsidR="00FD5D14" w:rsidRPr="00B824AA" w14:paraId="0C5C83C9" w14:textId="77777777" w:rsidTr="00866620">
        <w:tc>
          <w:tcPr>
            <w:tcW w:w="2551" w:type="dxa"/>
            <w:tcBorders>
              <w:top w:val="nil"/>
              <w:bottom w:val="nil"/>
            </w:tcBorders>
            <w:vAlign w:val="center"/>
          </w:tcPr>
          <w:p w14:paraId="5B55AD0D" w14:textId="54386556" w:rsidR="00FD5D14" w:rsidRPr="00B824AA" w:rsidRDefault="00FD5D14" w:rsidP="00225883">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00DCB7A0" w14:textId="0883D156" w:rsidR="00FD5D14" w:rsidRPr="00FD5D14" w:rsidRDefault="00FD5D14" w:rsidP="00225883">
            <w:pPr>
              <w:tabs>
                <w:tab w:val="decimal" w:pos="1135"/>
              </w:tabs>
              <w:rPr>
                <w:rFonts w:ascii="Times New Roman" w:hAnsi="Times New Roman" w:cs="Times New Roman"/>
                <w:color w:val="000000"/>
              </w:rPr>
            </w:pPr>
            <w:r w:rsidRPr="00FD5D14">
              <w:rPr>
                <w:rFonts w:ascii="Times New Roman" w:hAnsi="Times New Roman" w:cs="Times New Roman"/>
              </w:rPr>
              <w:t>100</w:t>
            </w:r>
          </w:p>
        </w:tc>
        <w:tc>
          <w:tcPr>
            <w:tcW w:w="2154" w:type="dxa"/>
            <w:tcBorders>
              <w:top w:val="nil"/>
              <w:bottom w:val="nil"/>
            </w:tcBorders>
          </w:tcPr>
          <w:p w14:paraId="2E7D17D1" w14:textId="440293FA" w:rsidR="00FD5D14" w:rsidRPr="00FD5D14" w:rsidRDefault="00FD5D14" w:rsidP="00225883">
            <w:pPr>
              <w:tabs>
                <w:tab w:val="decimal" w:pos="1107"/>
              </w:tabs>
              <w:rPr>
                <w:rFonts w:ascii="Times New Roman" w:hAnsi="Times New Roman" w:cs="Times New Roman"/>
                <w:color w:val="000000"/>
              </w:rPr>
            </w:pPr>
            <w:r w:rsidRPr="00FD5D14">
              <w:rPr>
                <w:rFonts w:ascii="Times New Roman" w:hAnsi="Times New Roman" w:cs="Times New Roman"/>
              </w:rPr>
              <w:t>100</w:t>
            </w:r>
          </w:p>
        </w:tc>
        <w:tc>
          <w:tcPr>
            <w:tcW w:w="2154" w:type="dxa"/>
            <w:tcBorders>
              <w:top w:val="nil"/>
              <w:bottom w:val="nil"/>
            </w:tcBorders>
          </w:tcPr>
          <w:p w14:paraId="10078A97" w14:textId="31F3BF74" w:rsidR="00FD5D14" w:rsidRPr="00FD5D14" w:rsidRDefault="00FD5D14" w:rsidP="00225883">
            <w:pPr>
              <w:tabs>
                <w:tab w:val="decimal" w:pos="1221"/>
              </w:tabs>
              <w:rPr>
                <w:rFonts w:ascii="Times New Roman" w:hAnsi="Times New Roman" w:cs="Times New Roman"/>
                <w:color w:val="000000"/>
              </w:rPr>
            </w:pPr>
            <w:r w:rsidRPr="00FD5D14">
              <w:rPr>
                <w:rFonts w:ascii="Times New Roman" w:hAnsi="Times New Roman" w:cs="Times New Roman"/>
              </w:rPr>
              <w:t>100</w:t>
            </w:r>
          </w:p>
        </w:tc>
      </w:tr>
      <w:tr w:rsidR="008A2901" w:rsidRPr="00B824AA" w14:paraId="43961C0C" w14:textId="77777777" w:rsidTr="00D9615A">
        <w:tc>
          <w:tcPr>
            <w:tcW w:w="2551" w:type="dxa"/>
            <w:tcBorders>
              <w:top w:val="nil"/>
              <w:bottom w:val="nil"/>
            </w:tcBorders>
          </w:tcPr>
          <w:p w14:paraId="4D2A3B62" w14:textId="77777777" w:rsidR="00D9615A" w:rsidRPr="00B824AA" w:rsidRDefault="00D9615A" w:rsidP="00CC3BD8">
            <w:pPr>
              <w:ind w:left="316"/>
              <w:rPr>
                <w:rFonts w:ascii="Times New Roman" w:hAnsi="Times New Roman" w:cs="Times New Roman"/>
              </w:rPr>
            </w:pPr>
          </w:p>
          <w:p w14:paraId="1B2580FC" w14:textId="01A90B7C" w:rsidR="008A2901" w:rsidRPr="00B824AA" w:rsidRDefault="008A2901" w:rsidP="00CC3BD8">
            <w:pPr>
              <w:ind w:left="316"/>
              <w:rPr>
                <w:rFonts w:ascii="Times New Roman" w:hAnsi="Times New Roman" w:cs="Times New Roman"/>
              </w:rPr>
            </w:pPr>
            <w:r w:rsidRPr="00B824AA">
              <w:rPr>
                <w:rFonts w:ascii="Times New Roman" w:hAnsi="Times New Roman" w:cs="Times New Roman"/>
              </w:rPr>
              <w:t>Realizacja potrzeb: opieka stomatologiczna</w:t>
            </w:r>
          </w:p>
        </w:tc>
        <w:tc>
          <w:tcPr>
            <w:tcW w:w="2154" w:type="dxa"/>
            <w:tcBorders>
              <w:top w:val="nil"/>
              <w:bottom w:val="nil"/>
            </w:tcBorders>
          </w:tcPr>
          <w:p w14:paraId="08D1FBE6" w14:textId="77777777" w:rsidR="008A2901" w:rsidRPr="00B824AA" w:rsidRDefault="008A2901" w:rsidP="00CC3BD8">
            <w:pPr>
              <w:tabs>
                <w:tab w:val="decimal" w:pos="1135"/>
              </w:tabs>
              <w:rPr>
                <w:rFonts w:ascii="Times New Roman" w:hAnsi="Times New Roman" w:cs="Times New Roman"/>
              </w:rPr>
            </w:pPr>
          </w:p>
        </w:tc>
        <w:tc>
          <w:tcPr>
            <w:tcW w:w="2154" w:type="dxa"/>
            <w:tcBorders>
              <w:top w:val="nil"/>
              <w:bottom w:val="nil"/>
            </w:tcBorders>
          </w:tcPr>
          <w:p w14:paraId="7AB94A71" w14:textId="77777777" w:rsidR="008A2901" w:rsidRPr="00B824AA" w:rsidRDefault="008A2901" w:rsidP="00CC3BD8">
            <w:pPr>
              <w:tabs>
                <w:tab w:val="decimal" w:pos="1107"/>
              </w:tabs>
              <w:rPr>
                <w:rFonts w:ascii="Times New Roman" w:hAnsi="Times New Roman" w:cs="Times New Roman"/>
              </w:rPr>
            </w:pPr>
          </w:p>
        </w:tc>
        <w:tc>
          <w:tcPr>
            <w:tcW w:w="2154" w:type="dxa"/>
            <w:tcBorders>
              <w:top w:val="nil"/>
              <w:bottom w:val="nil"/>
            </w:tcBorders>
          </w:tcPr>
          <w:p w14:paraId="3169D17B" w14:textId="77777777" w:rsidR="008A2901" w:rsidRPr="00B824AA" w:rsidRDefault="008A2901" w:rsidP="00CC3BD8">
            <w:pPr>
              <w:tabs>
                <w:tab w:val="decimal" w:pos="1221"/>
              </w:tabs>
              <w:rPr>
                <w:rFonts w:ascii="Times New Roman" w:hAnsi="Times New Roman" w:cs="Times New Roman"/>
              </w:rPr>
            </w:pPr>
          </w:p>
        </w:tc>
      </w:tr>
      <w:tr w:rsidR="00C315C6" w:rsidRPr="00B824AA" w14:paraId="6C4377C2" w14:textId="77777777" w:rsidTr="00866620">
        <w:tc>
          <w:tcPr>
            <w:tcW w:w="2551" w:type="dxa"/>
            <w:tcBorders>
              <w:top w:val="nil"/>
              <w:bottom w:val="nil"/>
            </w:tcBorders>
          </w:tcPr>
          <w:p w14:paraId="70BED352" w14:textId="77777777" w:rsidR="00C315C6" w:rsidRPr="00B824AA" w:rsidRDefault="00C315C6" w:rsidP="00225883">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63BDDE42" w14:textId="6D26BC1D" w:rsidR="00C315C6" w:rsidRPr="00C315C6" w:rsidRDefault="00C315C6" w:rsidP="00225883">
            <w:pPr>
              <w:tabs>
                <w:tab w:val="decimal" w:pos="1135"/>
              </w:tabs>
              <w:rPr>
                <w:rFonts w:ascii="Times New Roman" w:hAnsi="Times New Roman" w:cs="Times New Roman"/>
              </w:rPr>
            </w:pPr>
            <w:r w:rsidRPr="00C315C6">
              <w:rPr>
                <w:rFonts w:ascii="Times New Roman" w:hAnsi="Times New Roman" w:cs="Times New Roman"/>
              </w:rPr>
              <w:t>100</w:t>
            </w:r>
          </w:p>
        </w:tc>
        <w:tc>
          <w:tcPr>
            <w:tcW w:w="2154" w:type="dxa"/>
            <w:tcBorders>
              <w:top w:val="nil"/>
              <w:bottom w:val="nil"/>
            </w:tcBorders>
          </w:tcPr>
          <w:p w14:paraId="0604725B" w14:textId="020BA39E" w:rsidR="00C315C6" w:rsidRPr="00C315C6" w:rsidRDefault="00C315C6" w:rsidP="00225883">
            <w:pPr>
              <w:tabs>
                <w:tab w:val="decimal" w:pos="1107"/>
              </w:tabs>
              <w:rPr>
                <w:rFonts w:ascii="Times New Roman" w:hAnsi="Times New Roman" w:cs="Times New Roman"/>
              </w:rPr>
            </w:pPr>
            <w:r w:rsidRPr="00C315C6">
              <w:rPr>
                <w:rFonts w:ascii="Times New Roman" w:hAnsi="Times New Roman" w:cs="Times New Roman"/>
              </w:rPr>
              <w:t>99</w:t>
            </w:r>
          </w:p>
        </w:tc>
        <w:tc>
          <w:tcPr>
            <w:tcW w:w="2154" w:type="dxa"/>
            <w:tcBorders>
              <w:top w:val="nil"/>
              <w:bottom w:val="nil"/>
            </w:tcBorders>
          </w:tcPr>
          <w:p w14:paraId="73A3C181" w14:textId="13909A46" w:rsidR="00C315C6" w:rsidRPr="00C315C6" w:rsidRDefault="00C315C6" w:rsidP="00225883">
            <w:pPr>
              <w:tabs>
                <w:tab w:val="decimal" w:pos="1221"/>
              </w:tabs>
              <w:rPr>
                <w:rFonts w:ascii="Times New Roman" w:hAnsi="Times New Roman" w:cs="Times New Roman"/>
              </w:rPr>
            </w:pPr>
            <w:r w:rsidRPr="00C315C6">
              <w:rPr>
                <w:rFonts w:ascii="Times New Roman" w:hAnsi="Times New Roman" w:cs="Times New Roman"/>
              </w:rPr>
              <w:t>101</w:t>
            </w:r>
          </w:p>
        </w:tc>
      </w:tr>
      <w:tr w:rsidR="00C315C6" w:rsidRPr="00B824AA" w14:paraId="6EAE7918" w14:textId="77777777" w:rsidTr="00866620">
        <w:tc>
          <w:tcPr>
            <w:tcW w:w="2551" w:type="dxa"/>
            <w:tcBorders>
              <w:top w:val="nil"/>
              <w:bottom w:val="nil"/>
            </w:tcBorders>
          </w:tcPr>
          <w:p w14:paraId="73563E17" w14:textId="77777777" w:rsidR="00C315C6" w:rsidRPr="00B824AA" w:rsidRDefault="00C315C6" w:rsidP="00225883">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4E98F8DB" w14:textId="2D7B39EA" w:rsidR="00C315C6" w:rsidRPr="00C315C6" w:rsidRDefault="00C315C6" w:rsidP="00225883">
            <w:pPr>
              <w:tabs>
                <w:tab w:val="decimal" w:pos="1135"/>
              </w:tabs>
              <w:rPr>
                <w:rFonts w:ascii="Times New Roman" w:hAnsi="Times New Roman" w:cs="Times New Roman"/>
              </w:rPr>
            </w:pPr>
            <w:r w:rsidRPr="00C315C6">
              <w:rPr>
                <w:rFonts w:ascii="Times New Roman" w:hAnsi="Times New Roman" w:cs="Times New Roman"/>
              </w:rPr>
              <w:t>100</w:t>
            </w:r>
          </w:p>
        </w:tc>
        <w:tc>
          <w:tcPr>
            <w:tcW w:w="2154" w:type="dxa"/>
            <w:tcBorders>
              <w:top w:val="nil"/>
              <w:bottom w:val="nil"/>
            </w:tcBorders>
          </w:tcPr>
          <w:p w14:paraId="5D8FD72D" w14:textId="6B697F40" w:rsidR="00C315C6" w:rsidRPr="00C315C6" w:rsidRDefault="00C315C6" w:rsidP="00225883">
            <w:pPr>
              <w:tabs>
                <w:tab w:val="decimal" w:pos="1107"/>
              </w:tabs>
              <w:rPr>
                <w:rFonts w:ascii="Times New Roman" w:hAnsi="Times New Roman" w:cs="Times New Roman"/>
              </w:rPr>
            </w:pPr>
            <w:r w:rsidRPr="00C315C6">
              <w:rPr>
                <w:rFonts w:ascii="Times New Roman" w:hAnsi="Times New Roman" w:cs="Times New Roman"/>
              </w:rPr>
              <w:t>100</w:t>
            </w:r>
          </w:p>
        </w:tc>
        <w:tc>
          <w:tcPr>
            <w:tcW w:w="2154" w:type="dxa"/>
            <w:tcBorders>
              <w:top w:val="nil"/>
              <w:bottom w:val="nil"/>
            </w:tcBorders>
          </w:tcPr>
          <w:p w14:paraId="723ECF95" w14:textId="4943B1C3" w:rsidR="00C315C6" w:rsidRPr="00C315C6" w:rsidRDefault="00C315C6" w:rsidP="00225883">
            <w:pPr>
              <w:tabs>
                <w:tab w:val="decimal" w:pos="1221"/>
              </w:tabs>
              <w:rPr>
                <w:rFonts w:ascii="Times New Roman" w:hAnsi="Times New Roman" w:cs="Times New Roman"/>
              </w:rPr>
            </w:pPr>
            <w:r w:rsidRPr="00C315C6">
              <w:rPr>
                <w:rFonts w:ascii="Times New Roman" w:hAnsi="Times New Roman" w:cs="Times New Roman"/>
              </w:rPr>
              <w:t>101</w:t>
            </w:r>
          </w:p>
        </w:tc>
      </w:tr>
      <w:tr w:rsidR="00C315C6" w:rsidRPr="00B824AA" w14:paraId="5F1F2A0B" w14:textId="77777777" w:rsidTr="00866620">
        <w:tc>
          <w:tcPr>
            <w:tcW w:w="2551" w:type="dxa"/>
            <w:tcBorders>
              <w:top w:val="nil"/>
              <w:bottom w:val="nil"/>
            </w:tcBorders>
          </w:tcPr>
          <w:p w14:paraId="36687233" w14:textId="77777777" w:rsidR="00C315C6" w:rsidRPr="00B824AA" w:rsidRDefault="00C315C6" w:rsidP="00225883">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5FF1D855" w14:textId="450754E4" w:rsidR="00C315C6" w:rsidRPr="00C315C6" w:rsidRDefault="00C315C6" w:rsidP="00225883">
            <w:pPr>
              <w:tabs>
                <w:tab w:val="decimal" w:pos="1135"/>
              </w:tabs>
              <w:rPr>
                <w:rFonts w:ascii="Times New Roman" w:hAnsi="Times New Roman" w:cs="Times New Roman"/>
              </w:rPr>
            </w:pPr>
            <w:r w:rsidRPr="00C315C6">
              <w:rPr>
                <w:rFonts w:ascii="Times New Roman" w:hAnsi="Times New Roman" w:cs="Times New Roman"/>
              </w:rPr>
              <w:t>102</w:t>
            </w:r>
          </w:p>
        </w:tc>
        <w:tc>
          <w:tcPr>
            <w:tcW w:w="2154" w:type="dxa"/>
            <w:tcBorders>
              <w:top w:val="nil"/>
              <w:bottom w:val="nil"/>
            </w:tcBorders>
          </w:tcPr>
          <w:p w14:paraId="5C050B7F" w14:textId="45507A81" w:rsidR="00C315C6" w:rsidRPr="00C315C6" w:rsidRDefault="00C315C6" w:rsidP="00225883">
            <w:pPr>
              <w:tabs>
                <w:tab w:val="decimal" w:pos="1107"/>
              </w:tabs>
              <w:rPr>
                <w:rFonts w:ascii="Times New Roman" w:hAnsi="Times New Roman" w:cs="Times New Roman"/>
              </w:rPr>
            </w:pPr>
            <w:r w:rsidRPr="00C315C6">
              <w:rPr>
                <w:rFonts w:ascii="Times New Roman" w:hAnsi="Times New Roman" w:cs="Times New Roman"/>
              </w:rPr>
              <w:t>102</w:t>
            </w:r>
          </w:p>
        </w:tc>
        <w:tc>
          <w:tcPr>
            <w:tcW w:w="2154" w:type="dxa"/>
            <w:tcBorders>
              <w:top w:val="nil"/>
              <w:bottom w:val="nil"/>
            </w:tcBorders>
          </w:tcPr>
          <w:p w14:paraId="4896E014" w14:textId="3B78923C" w:rsidR="00C315C6" w:rsidRPr="00C315C6" w:rsidRDefault="00C315C6" w:rsidP="00225883">
            <w:pPr>
              <w:tabs>
                <w:tab w:val="decimal" w:pos="1221"/>
              </w:tabs>
              <w:rPr>
                <w:rFonts w:ascii="Times New Roman" w:hAnsi="Times New Roman" w:cs="Times New Roman"/>
              </w:rPr>
            </w:pPr>
            <w:r w:rsidRPr="00C315C6">
              <w:rPr>
                <w:rFonts w:ascii="Times New Roman" w:hAnsi="Times New Roman" w:cs="Times New Roman"/>
              </w:rPr>
              <w:t>101</w:t>
            </w:r>
          </w:p>
        </w:tc>
      </w:tr>
      <w:tr w:rsidR="00C315C6" w:rsidRPr="00B824AA" w14:paraId="38ACF48B" w14:textId="77777777" w:rsidTr="00866620">
        <w:tc>
          <w:tcPr>
            <w:tcW w:w="2551" w:type="dxa"/>
            <w:tcBorders>
              <w:top w:val="nil"/>
              <w:bottom w:val="nil"/>
            </w:tcBorders>
          </w:tcPr>
          <w:p w14:paraId="06C05C96" w14:textId="77777777" w:rsidR="00C315C6" w:rsidRPr="00B824AA" w:rsidRDefault="00C315C6" w:rsidP="00225883">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54" w:type="dxa"/>
            <w:tcBorders>
              <w:top w:val="nil"/>
              <w:bottom w:val="nil"/>
            </w:tcBorders>
          </w:tcPr>
          <w:p w14:paraId="1CAC9C98" w14:textId="1B8EECCE" w:rsidR="00C315C6" w:rsidRPr="00C315C6" w:rsidRDefault="00C315C6" w:rsidP="00225883">
            <w:pPr>
              <w:tabs>
                <w:tab w:val="decimal" w:pos="1135"/>
              </w:tabs>
              <w:rPr>
                <w:rFonts w:ascii="Times New Roman" w:hAnsi="Times New Roman" w:cs="Times New Roman"/>
                <w:color w:val="000000"/>
              </w:rPr>
            </w:pPr>
            <w:r w:rsidRPr="00C315C6">
              <w:rPr>
                <w:rFonts w:ascii="Times New Roman" w:hAnsi="Times New Roman" w:cs="Times New Roman"/>
              </w:rPr>
              <w:t>102</w:t>
            </w:r>
          </w:p>
        </w:tc>
        <w:tc>
          <w:tcPr>
            <w:tcW w:w="2154" w:type="dxa"/>
            <w:tcBorders>
              <w:top w:val="nil"/>
              <w:bottom w:val="nil"/>
            </w:tcBorders>
          </w:tcPr>
          <w:p w14:paraId="25002C3E" w14:textId="551F489E" w:rsidR="00C315C6" w:rsidRPr="00C315C6" w:rsidRDefault="00C315C6" w:rsidP="00225883">
            <w:pPr>
              <w:tabs>
                <w:tab w:val="decimal" w:pos="1107"/>
              </w:tabs>
              <w:rPr>
                <w:rFonts w:ascii="Times New Roman" w:hAnsi="Times New Roman" w:cs="Times New Roman"/>
                <w:color w:val="000000"/>
              </w:rPr>
            </w:pPr>
            <w:r w:rsidRPr="00C315C6">
              <w:rPr>
                <w:rFonts w:ascii="Times New Roman" w:hAnsi="Times New Roman" w:cs="Times New Roman"/>
              </w:rPr>
              <w:t>102</w:t>
            </w:r>
          </w:p>
        </w:tc>
        <w:tc>
          <w:tcPr>
            <w:tcW w:w="2154" w:type="dxa"/>
            <w:tcBorders>
              <w:top w:val="nil"/>
              <w:bottom w:val="nil"/>
            </w:tcBorders>
          </w:tcPr>
          <w:p w14:paraId="12AE02C5" w14:textId="2C31AE91" w:rsidR="00C315C6" w:rsidRPr="00C315C6" w:rsidRDefault="00C315C6" w:rsidP="00225883">
            <w:pPr>
              <w:tabs>
                <w:tab w:val="decimal" w:pos="1221"/>
              </w:tabs>
              <w:rPr>
                <w:rFonts w:ascii="Times New Roman" w:hAnsi="Times New Roman" w:cs="Times New Roman"/>
                <w:color w:val="000000"/>
              </w:rPr>
            </w:pPr>
            <w:r w:rsidRPr="00C315C6">
              <w:rPr>
                <w:rFonts w:ascii="Times New Roman" w:hAnsi="Times New Roman" w:cs="Times New Roman"/>
              </w:rPr>
              <w:t>101</w:t>
            </w:r>
          </w:p>
        </w:tc>
      </w:tr>
      <w:tr w:rsidR="00C315C6" w:rsidRPr="00B824AA" w14:paraId="1A6341C4" w14:textId="77777777" w:rsidTr="00866620">
        <w:tc>
          <w:tcPr>
            <w:tcW w:w="2551" w:type="dxa"/>
            <w:tcBorders>
              <w:top w:val="nil"/>
            </w:tcBorders>
          </w:tcPr>
          <w:p w14:paraId="45DB8A5F" w14:textId="6CDEC3FC" w:rsidR="00C315C6" w:rsidRPr="00B824AA" w:rsidRDefault="00C315C6" w:rsidP="00225883">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tcBorders>
          </w:tcPr>
          <w:p w14:paraId="125848C3" w14:textId="0902AA00" w:rsidR="00C315C6" w:rsidRPr="00C315C6" w:rsidRDefault="00C315C6" w:rsidP="00225883">
            <w:pPr>
              <w:tabs>
                <w:tab w:val="decimal" w:pos="1135"/>
              </w:tabs>
              <w:rPr>
                <w:rFonts w:ascii="Times New Roman" w:hAnsi="Times New Roman" w:cs="Times New Roman"/>
                <w:color w:val="000000"/>
              </w:rPr>
            </w:pPr>
            <w:r w:rsidRPr="00C315C6">
              <w:rPr>
                <w:rFonts w:ascii="Times New Roman" w:hAnsi="Times New Roman" w:cs="Times New Roman"/>
              </w:rPr>
              <w:t>103</w:t>
            </w:r>
          </w:p>
        </w:tc>
        <w:tc>
          <w:tcPr>
            <w:tcW w:w="2154" w:type="dxa"/>
            <w:tcBorders>
              <w:top w:val="nil"/>
            </w:tcBorders>
          </w:tcPr>
          <w:p w14:paraId="5FEC2A0B" w14:textId="464073C1" w:rsidR="00C315C6" w:rsidRPr="00C315C6" w:rsidRDefault="00C315C6" w:rsidP="00225883">
            <w:pPr>
              <w:tabs>
                <w:tab w:val="decimal" w:pos="1107"/>
              </w:tabs>
              <w:rPr>
                <w:rFonts w:ascii="Times New Roman" w:hAnsi="Times New Roman" w:cs="Times New Roman"/>
                <w:color w:val="000000"/>
              </w:rPr>
            </w:pPr>
            <w:r w:rsidRPr="00C315C6">
              <w:rPr>
                <w:rFonts w:ascii="Times New Roman" w:hAnsi="Times New Roman" w:cs="Times New Roman"/>
              </w:rPr>
              <w:t>103</w:t>
            </w:r>
          </w:p>
        </w:tc>
        <w:tc>
          <w:tcPr>
            <w:tcW w:w="2154" w:type="dxa"/>
            <w:tcBorders>
              <w:top w:val="nil"/>
            </w:tcBorders>
          </w:tcPr>
          <w:p w14:paraId="0215D399" w14:textId="31A57DF8" w:rsidR="00C315C6" w:rsidRPr="00C315C6" w:rsidRDefault="00C315C6" w:rsidP="00225883">
            <w:pPr>
              <w:tabs>
                <w:tab w:val="decimal" w:pos="1221"/>
              </w:tabs>
              <w:rPr>
                <w:rFonts w:ascii="Times New Roman" w:hAnsi="Times New Roman" w:cs="Times New Roman"/>
                <w:color w:val="000000"/>
              </w:rPr>
            </w:pPr>
            <w:r w:rsidRPr="00C315C6">
              <w:rPr>
                <w:rFonts w:ascii="Times New Roman" w:hAnsi="Times New Roman" w:cs="Times New Roman"/>
              </w:rPr>
              <w:t>101</w:t>
            </w:r>
          </w:p>
        </w:tc>
      </w:tr>
    </w:tbl>
    <w:p w14:paraId="546EAB65" w14:textId="77777777" w:rsidR="00A71013" w:rsidRPr="00B824AA" w:rsidRDefault="00A71013" w:rsidP="00A71013">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2D6227FE" w14:textId="012A61D4" w:rsidR="00EA3005" w:rsidRPr="00B824AA" w:rsidRDefault="00EA3005" w:rsidP="00EA3005">
      <w:pPr>
        <w:pStyle w:val="Heading1"/>
        <w:numPr>
          <w:ilvl w:val="0"/>
          <w:numId w:val="6"/>
        </w:numPr>
        <w:rPr>
          <w:rFonts w:ascii="Times New Roman" w:hAnsi="Times New Roman" w:cs="Times New Roman"/>
          <w:sz w:val="36"/>
          <w:szCs w:val="36"/>
        </w:rPr>
      </w:pPr>
      <w:bookmarkStart w:id="10" w:name="_Toc162905466"/>
      <w:r w:rsidRPr="00B824AA">
        <w:rPr>
          <w:rFonts w:ascii="Times New Roman" w:hAnsi="Times New Roman" w:cs="Times New Roman"/>
          <w:sz w:val="36"/>
          <w:szCs w:val="36"/>
        </w:rPr>
        <w:lastRenderedPageBreak/>
        <w:t>Edukacja</w:t>
      </w:r>
      <w:bookmarkEnd w:id="10"/>
    </w:p>
    <w:p w14:paraId="29A50814" w14:textId="5C28175A" w:rsidR="00EA3005" w:rsidRPr="00B824AA" w:rsidRDefault="00EA3005" w:rsidP="00EA3005">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Agnieszka Chłoń-Domińczak</w:t>
      </w:r>
    </w:p>
    <w:p w14:paraId="7BE3A639" w14:textId="3FE2388D"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Cząstkowy wskaźnik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i/>
          <w:iCs/>
          <w:sz w:val="24"/>
          <w:szCs w:val="24"/>
        </w:rPr>
        <w:t xml:space="preserve"> </w:t>
      </w:r>
      <w:r w:rsidRPr="00B824AA">
        <w:rPr>
          <w:rFonts w:ascii="Times New Roman" w:hAnsi="Times New Roman" w:cs="Times New Roman"/>
          <w:sz w:val="24"/>
          <w:szCs w:val="24"/>
        </w:rPr>
        <w:t xml:space="preserve">w </w:t>
      </w:r>
      <w:r w:rsidR="00B7545F">
        <w:rPr>
          <w:rFonts w:ascii="Times New Roman" w:hAnsi="Times New Roman" w:cs="Times New Roman"/>
          <w:sz w:val="24"/>
          <w:szCs w:val="24"/>
        </w:rPr>
        <w:t>wymiarze</w:t>
      </w:r>
      <w:r w:rsidRPr="00B824AA">
        <w:rPr>
          <w:rFonts w:ascii="Times New Roman" w:hAnsi="Times New Roman" w:cs="Times New Roman"/>
          <w:sz w:val="24"/>
          <w:szCs w:val="24"/>
        </w:rPr>
        <w:t xml:space="preserve"> edukacja </w:t>
      </w:r>
      <w:r w:rsidR="002532BB">
        <w:rPr>
          <w:rFonts w:ascii="Times New Roman" w:hAnsi="Times New Roman" w:cs="Times New Roman"/>
          <w:sz w:val="24"/>
          <w:szCs w:val="24"/>
        </w:rPr>
        <w:t>uległ pogorszeniu</w:t>
      </w:r>
      <w:r w:rsidRPr="00B824AA">
        <w:rPr>
          <w:rFonts w:ascii="Times New Roman" w:hAnsi="Times New Roman" w:cs="Times New Roman"/>
          <w:sz w:val="24"/>
          <w:szCs w:val="24"/>
        </w:rPr>
        <w:t xml:space="preserve">, </w:t>
      </w:r>
      <w:r w:rsidR="002532BB">
        <w:rPr>
          <w:rFonts w:ascii="Times New Roman" w:hAnsi="Times New Roman" w:cs="Times New Roman"/>
          <w:sz w:val="24"/>
          <w:szCs w:val="24"/>
        </w:rPr>
        <w:t>a</w:t>
      </w:r>
      <w:r w:rsidRPr="00B824AA">
        <w:rPr>
          <w:rFonts w:ascii="Times New Roman" w:hAnsi="Times New Roman" w:cs="Times New Roman"/>
          <w:sz w:val="24"/>
          <w:szCs w:val="24"/>
        </w:rPr>
        <w:t xml:space="preserve"> jego wartość wskazuje na duży dystans Polski</w:t>
      </w:r>
      <w:r w:rsidR="002532BB">
        <w:rPr>
          <w:rFonts w:ascii="Times New Roman" w:hAnsi="Times New Roman" w:cs="Times New Roman"/>
          <w:sz w:val="24"/>
          <w:szCs w:val="24"/>
        </w:rPr>
        <w:t>,</w:t>
      </w:r>
      <w:r w:rsidRPr="00B824AA">
        <w:rPr>
          <w:rFonts w:ascii="Times New Roman" w:hAnsi="Times New Roman" w:cs="Times New Roman"/>
          <w:sz w:val="24"/>
          <w:szCs w:val="24"/>
        </w:rPr>
        <w:t xml:space="preserve"> przede wszystkim </w:t>
      </w:r>
      <w:r w:rsidR="00E26BAA" w:rsidRPr="00B824AA">
        <w:rPr>
          <w:rFonts w:ascii="Times New Roman" w:hAnsi="Times New Roman" w:cs="Times New Roman"/>
          <w:sz w:val="24"/>
          <w:szCs w:val="24"/>
        </w:rPr>
        <w:t>do krajów UE 14</w:t>
      </w:r>
      <w:r w:rsidRPr="00B824AA">
        <w:rPr>
          <w:rFonts w:ascii="Times New Roman" w:hAnsi="Times New Roman" w:cs="Times New Roman"/>
          <w:sz w:val="24"/>
          <w:szCs w:val="24"/>
        </w:rPr>
        <w:t>. W 202</w:t>
      </w:r>
      <w:r w:rsidR="002532BB">
        <w:rPr>
          <w:rFonts w:ascii="Times New Roman" w:hAnsi="Times New Roman" w:cs="Times New Roman"/>
          <w:sz w:val="24"/>
          <w:szCs w:val="24"/>
        </w:rPr>
        <w:t>2</w:t>
      </w:r>
      <w:r w:rsidRPr="00B824AA">
        <w:rPr>
          <w:rFonts w:ascii="Times New Roman" w:hAnsi="Times New Roman" w:cs="Times New Roman"/>
          <w:sz w:val="24"/>
          <w:szCs w:val="24"/>
        </w:rPr>
        <w:t xml:space="preserve"> r. wskaźnik ten </w:t>
      </w:r>
      <w:r w:rsidR="00877854">
        <w:rPr>
          <w:rFonts w:ascii="Times New Roman" w:hAnsi="Times New Roman" w:cs="Times New Roman"/>
          <w:sz w:val="24"/>
          <w:szCs w:val="24"/>
        </w:rPr>
        <w:t xml:space="preserve">dla krajów UE 27 </w:t>
      </w:r>
      <w:r w:rsidRPr="00B824AA">
        <w:rPr>
          <w:rFonts w:ascii="Times New Roman" w:hAnsi="Times New Roman" w:cs="Times New Roman"/>
          <w:sz w:val="24"/>
          <w:szCs w:val="24"/>
        </w:rPr>
        <w:t xml:space="preserve">wyniósł </w:t>
      </w:r>
      <w:r w:rsidR="00F2765C">
        <w:rPr>
          <w:rFonts w:ascii="Times New Roman" w:hAnsi="Times New Roman" w:cs="Times New Roman"/>
          <w:sz w:val="24"/>
          <w:szCs w:val="24"/>
        </w:rPr>
        <w:t>56</w:t>
      </w:r>
      <w:r w:rsidRPr="00B824AA">
        <w:rPr>
          <w:rFonts w:ascii="Times New Roman" w:hAnsi="Times New Roman" w:cs="Times New Roman"/>
          <w:sz w:val="24"/>
          <w:szCs w:val="24"/>
        </w:rPr>
        <w:t xml:space="preserve"> procent</w:t>
      </w:r>
      <w:r w:rsidR="00F2765C">
        <w:rPr>
          <w:rFonts w:ascii="Times New Roman" w:hAnsi="Times New Roman" w:cs="Times New Roman"/>
          <w:sz w:val="24"/>
          <w:szCs w:val="24"/>
        </w:rPr>
        <w:t>,</w:t>
      </w:r>
      <w:r w:rsidRPr="00B824AA">
        <w:rPr>
          <w:rFonts w:ascii="Times New Roman" w:hAnsi="Times New Roman" w:cs="Times New Roman"/>
          <w:sz w:val="24"/>
          <w:szCs w:val="24"/>
        </w:rPr>
        <w:t xml:space="preserve"> co oznacza </w:t>
      </w:r>
      <w:r w:rsidR="00F2765C">
        <w:rPr>
          <w:rFonts w:ascii="Times New Roman" w:hAnsi="Times New Roman" w:cs="Times New Roman"/>
          <w:sz w:val="24"/>
          <w:szCs w:val="24"/>
        </w:rPr>
        <w:t xml:space="preserve">pogorszenie o 5 punktów procentowych w porównaniu do 2021 r., </w:t>
      </w:r>
      <w:r w:rsidR="00F15A2B">
        <w:rPr>
          <w:rFonts w:ascii="Times New Roman" w:hAnsi="Times New Roman" w:cs="Times New Roman"/>
          <w:sz w:val="24"/>
          <w:szCs w:val="24"/>
        </w:rPr>
        <w:t xml:space="preserve">a </w:t>
      </w:r>
      <w:r w:rsidRPr="00B824AA">
        <w:rPr>
          <w:rFonts w:ascii="Times New Roman" w:hAnsi="Times New Roman" w:cs="Times New Roman"/>
          <w:sz w:val="24"/>
          <w:szCs w:val="24"/>
        </w:rPr>
        <w:t xml:space="preserve">poprawę o </w:t>
      </w:r>
      <w:r w:rsidR="00F15A2B">
        <w:rPr>
          <w:rFonts w:ascii="Times New Roman" w:hAnsi="Times New Roman" w:cs="Times New Roman"/>
          <w:sz w:val="24"/>
          <w:szCs w:val="24"/>
        </w:rPr>
        <w:t xml:space="preserve">4 </w:t>
      </w:r>
      <w:r w:rsidRPr="00B824AA">
        <w:rPr>
          <w:rFonts w:ascii="Times New Roman" w:hAnsi="Times New Roman" w:cs="Times New Roman"/>
          <w:sz w:val="24"/>
          <w:szCs w:val="24"/>
        </w:rPr>
        <w:t>punkt</w:t>
      </w:r>
      <w:r w:rsidR="00F15A2B">
        <w:rPr>
          <w:rFonts w:ascii="Times New Roman" w:hAnsi="Times New Roman" w:cs="Times New Roman"/>
          <w:sz w:val="24"/>
          <w:szCs w:val="24"/>
        </w:rPr>
        <w:t>y</w:t>
      </w:r>
      <w:r w:rsidRPr="00B824AA">
        <w:rPr>
          <w:rFonts w:ascii="Times New Roman" w:hAnsi="Times New Roman" w:cs="Times New Roman"/>
          <w:sz w:val="24"/>
          <w:szCs w:val="24"/>
        </w:rPr>
        <w:t xml:space="preserve"> procentow</w:t>
      </w:r>
      <w:r w:rsidR="00F15A2B">
        <w:rPr>
          <w:rFonts w:ascii="Times New Roman" w:hAnsi="Times New Roman" w:cs="Times New Roman"/>
          <w:sz w:val="24"/>
          <w:szCs w:val="24"/>
        </w:rPr>
        <w:t>e w porównaniu</w:t>
      </w:r>
      <w:r w:rsidRPr="00B824AA">
        <w:rPr>
          <w:rFonts w:ascii="Times New Roman" w:hAnsi="Times New Roman" w:cs="Times New Roman"/>
          <w:sz w:val="24"/>
          <w:szCs w:val="24"/>
        </w:rPr>
        <w:t xml:space="preserve"> </w:t>
      </w:r>
      <w:r w:rsidR="00F15A2B">
        <w:rPr>
          <w:rFonts w:ascii="Times New Roman" w:hAnsi="Times New Roman" w:cs="Times New Roman"/>
          <w:sz w:val="24"/>
          <w:szCs w:val="24"/>
        </w:rPr>
        <w:t>do</w:t>
      </w:r>
      <w:r w:rsidR="00877854">
        <w:rPr>
          <w:rFonts w:ascii="Times New Roman" w:hAnsi="Times New Roman" w:cs="Times New Roman"/>
          <w:sz w:val="24"/>
          <w:szCs w:val="24"/>
        </w:rPr>
        <w:t xml:space="preserve"> 2010 r. </w:t>
      </w:r>
      <w:r w:rsidRPr="00B824AA">
        <w:rPr>
          <w:rFonts w:ascii="Times New Roman" w:hAnsi="Times New Roman" w:cs="Times New Roman"/>
          <w:sz w:val="24"/>
          <w:szCs w:val="24"/>
        </w:rPr>
        <w:t xml:space="preserve">W relacji do krajów </w:t>
      </w:r>
      <w:r w:rsidR="00877854">
        <w:rPr>
          <w:rFonts w:ascii="Times New Roman" w:hAnsi="Times New Roman" w:cs="Times New Roman"/>
          <w:sz w:val="24"/>
          <w:szCs w:val="24"/>
        </w:rPr>
        <w:t>UE 14</w:t>
      </w:r>
      <w:r w:rsidRPr="00B824AA">
        <w:rPr>
          <w:rFonts w:ascii="Times New Roman" w:hAnsi="Times New Roman" w:cs="Times New Roman"/>
          <w:sz w:val="24"/>
          <w:szCs w:val="24"/>
        </w:rPr>
        <w:t xml:space="preserve"> wartość wskaźnika cząstkowego w obszarze edukacji wynosiła w 202</w:t>
      </w:r>
      <w:r w:rsidR="004F2412">
        <w:rPr>
          <w:rFonts w:ascii="Times New Roman" w:hAnsi="Times New Roman" w:cs="Times New Roman"/>
          <w:sz w:val="24"/>
          <w:szCs w:val="24"/>
        </w:rPr>
        <w:t>2</w:t>
      </w:r>
      <w:r w:rsidRPr="00B824AA">
        <w:rPr>
          <w:rFonts w:ascii="Times New Roman" w:hAnsi="Times New Roman" w:cs="Times New Roman"/>
          <w:sz w:val="24"/>
          <w:szCs w:val="24"/>
        </w:rPr>
        <w:t xml:space="preserve"> r. 5</w:t>
      </w:r>
      <w:r w:rsidR="004F2412">
        <w:rPr>
          <w:rFonts w:ascii="Times New Roman" w:hAnsi="Times New Roman" w:cs="Times New Roman"/>
          <w:sz w:val="24"/>
          <w:szCs w:val="24"/>
        </w:rPr>
        <w:t>0 </w:t>
      </w:r>
      <w:r w:rsidR="00877854">
        <w:rPr>
          <w:rFonts w:ascii="Times New Roman" w:hAnsi="Times New Roman" w:cs="Times New Roman"/>
          <w:sz w:val="24"/>
          <w:szCs w:val="24"/>
        </w:rPr>
        <w:t>procent</w:t>
      </w:r>
      <w:r w:rsidRPr="00B824AA">
        <w:rPr>
          <w:rFonts w:ascii="Times New Roman" w:hAnsi="Times New Roman" w:cs="Times New Roman"/>
          <w:sz w:val="24"/>
          <w:szCs w:val="24"/>
        </w:rPr>
        <w:t xml:space="preserve">, co oznacza </w:t>
      </w:r>
      <w:r w:rsidR="004F2412">
        <w:rPr>
          <w:rFonts w:ascii="Times New Roman" w:hAnsi="Times New Roman" w:cs="Times New Roman"/>
          <w:sz w:val="24"/>
          <w:szCs w:val="24"/>
        </w:rPr>
        <w:t xml:space="preserve">powiększenie dystansu do tej grupy krajów o </w:t>
      </w:r>
      <w:r w:rsidR="00355ED6">
        <w:rPr>
          <w:rFonts w:ascii="Times New Roman" w:hAnsi="Times New Roman" w:cs="Times New Roman"/>
          <w:sz w:val="24"/>
          <w:szCs w:val="24"/>
        </w:rPr>
        <w:t>6 punktów procentowych w porównaniu do 2021 r.</w:t>
      </w:r>
      <w:r w:rsidRPr="00B824AA">
        <w:rPr>
          <w:rFonts w:ascii="Times New Roman" w:hAnsi="Times New Roman" w:cs="Times New Roman"/>
          <w:sz w:val="24"/>
          <w:szCs w:val="24"/>
        </w:rPr>
        <w:t xml:space="preserve"> </w:t>
      </w:r>
      <w:r w:rsidR="00877854">
        <w:rPr>
          <w:rFonts w:ascii="Times New Roman" w:hAnsi="Times New Roman" w:cs="Times New Roman"/>
          <w:sz w:val="24"/>
          <w:szCs w:val="24"/>
        </w:rPr>
        <w:t>S</w:t>
      </w:r>
      <w:r w:rsidRPr="00B824AA">
        <w:rPr>
          <w:rFonts w:ascii="Times New Roman" w:hAnsi="Times New Roman" w:cs="Times New Roman"/>
          <w:sz w:val="24"/>
          <w:szCs w:val="24"/>
        </w:rPr>
        <w:t xml:space="preserve">ytuacja w </w:t>
      </w:r>
      <w:r w:rsidR="00E26BAA" w:rsidRPr="00B824AA">
        <w:rPr>
          <w:rFonts w:ascii="Times New Roman" w:hAnsi="Times New Roman" w:cs="Times New Roman"/>
          <w:sz w:val="24"/>
          <w:szCs w:val="24"/>
        </w:rPr>
        <w:t>wymiarze</w:t>
      </w:r>
      <w:r w:rsidRPr="00B824AA">
        <w:rPr>
          <w:rFonts w:ascii="Times New Roman" w:hAnsi="Times New Roman" w:cs="Times New Roman"/>
          <w:sz w:val="24"/>
          <w:szCs w:val="24"/>
        </w:rPr>
        <w:t xml:space="preserve"> edukacji w Polsce jest lepsza niż w krajach</w:t>
      </w:r>
      <w:r w:rsidR="00877854">
        <w:rPr>
          <w:rFonts w:ascii="Times New Roman" w:hAnsi="Times New Roman" w:cs="Times New Roman"/>
          <w:sz w:val="24"/>
          <w:szCs w:val="24"/>
        </w:rPr>
        <w:t xml:space="preserve"> UE 13</w:t>
      </w:r>
      <w:r w:rsidRPr="00B824AA">
        <w:rPr>
          <w:rFonts w:ascii="Times New Roman" w:hAnsi="Times New Roman" w:cs="Times New Roman"/>
          <w:sz w:val="24"/>
          <w:szCs w:val="24"/>
        </w:rPr>
        <w:t xml:space="preserve">, a wartość wskaźnika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wyniosła 10</w:t>
      </w:r>
      <w:r w:rsidR="00D97E6D">
        <w:rPr>
          <w:rFonts w:ascii="Times New Roman" w:hAnsi="Times New Roman" w:cs="Times New Roman"/>
          <w:sz w:val="24"/>
          <w:szCs w:val="24"/>
        </w:rPr>
        <w:t>2</w:t>
      </w:r>
      <w:r w:rsidR="00877854">
        <w:rPr>
          <w:rFonts w:ascii="Times New Roman" w:hAnsi="Times New Roman" w:cs="Times New Roman"/>
          <w:sz w:val="24"/>
          <w:szCs w:val="24"/>
        </w:rPr>
        <w:t xml:space="preserve"> procent w 2021 r</w:t>
      </w:r>
      <w:r w:rsidRPr="00B824AA">
        <w:rPr>
          <w:rFonts w:ascii="Times New Roman" w:hAnsi="Times New Roman" w:cs="Times New Roman"/>
          <w:sz w:val="24"/>
          <w:szCs w:val="24"/>
        </w:rPr>
        <w:t>.</w:t>
      </w:r>
      <w:r w:rsidR="00D97E6D">
        <w:rPr>
          <w:rFonts w:ascii="Times New Roman" w:hAnsi="Times New Roman" w:cs="Times New Roman"/>
          <w:sz w:val="24"/>
          <w:szCs w:val="24"/>
        </w:rPr>
        <w:t xml:space="preserve"> (o 6 </w:t>
      </w:r>
      <w:proofErr w:type="spellStart"/>
      <w:r w:rsidR="00D97E6D">
        <w:rPr>
          <w:rFonts w:ascii="Times New Roman" w:hAnsi="Times New Roman" w:cs="Times New Roman"/>
          <w:sz w:val="24"/>
          <w:szCs w:val="24"/>
        </w:rPr>
        <w:t>p.p</w:t>
      </w:r>
      <w:proofErr w:type="spellEnd"/>
      <w:r w:rsidR="00D97E6D">
        <w:rPr>
          <w:rFonts w:ascii="Times New Roman" w:hAnsi="Times New Roman" w:cs="Times New Roman"/>
          <w:sz w:val="24"/>
          <w:szCs w:val="24"/>
        </w:rPr>
        <w:t xml:space="preserve">. mniejsza niż rok wcześniej). Wskaźnik cząstkowy w wymiarze edukacja uwzględnia </w:t>
      </w:r>
      <w:r w:rsidRPr="00B824AA">
        <w:rPr>
          <w:rFonts w:ascii="Times New Roman" w:hAnsi="Times New Roman" w:cs="Times New Roman"/>
          <w:sz w:val="24"/>
          <w:szCs w:val="24"/>
        </w:rPr>
        <w:t>uczestnictwo w</w:t>
      </w:r>
      <w:r w:rsidR="00DB25D3">
        <w:rPr>
          <w:rFonts w:ascii="Times New Roman" w:hAnsi="Times New Roman" w:cs="Times New Roman"/>
          <w:sz w:val="24"/>
          <w:szCs w:val="24"/>
        </w:rPr>
        <w:t>e wczesnej edukacji, uczenie się przez całe życie</w:t>
      </w:r>
      <w:r w:rsidRPr="00B824AA">
        <w:rPr>
          <w:rFonts w:ascii="Times New Roman" w:hAnsi="Times New Roman" w:cs="Times New Roman"/>
          <w:sz w:val="24"/>
          <w:szCs w:val="24"/>
        </w:rPr>
        <w:t xml:space="preserve">, poziom wykształcenia, </w:t>
      </w:r>
      <w:r w:rsidR="00DB25D3">
        <w:rPr>
          <w:rFonts w:ascii="Times New Roman" w:hAnsi="Times New Roman" w:cs="Times New Roman"/>
          <w:sz w:val="24"/>
          <w:szCs w:val="24"/>
        </w:rPr>
        <w:t xml:space="preserve">wczesne opuszczanie systemu edukacji, </w:t>
      </w:r>
      <w:r w:rsidRPr="00B824AA">
        <w:rPr>
          <w:rFonts w:ascii="Times New Roman" w:hAnsi="Times New Roman" w:cs="Times New Roman"/>
          <w:sz w:val="24"/>
          <w:szCs w:val="24"/>
        </w:rPr>
        <w:t>a także wskaźniki z obszaru badań i rozwoju</w:t>
      </w:r>
      <w:r w:rsidR="00E26BAA" w:rsidRPr="00B824AA">
        <w:rPr>
          <w:rFonts w:ascii="Times New Roman" w:hAnsi="Times New Roman" w:cs="Times New Roman"/>
          <w:sz w:val="24"/>
          <w:szCs w:val="24"/>
        </w:rPr>
        <w:t>.</w:t>
      </w:r>
    </w:p>
    <w:p w14:paraId="676CDCF4" w14:textId="3BE52AAA"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Pierwszy wskaźnik cząstkowy to wskaźnik </w:t>
      </w:r>
      <w:r w:rsidR="00161C8C">
        <w:rPr>
          <w:rFonts w:ascii="Times New Roman" w:hAnsi="Times New Roman" w:cs="Times New Roman"/>
          <w:sz w:val="24"/>
          <w:szCs w:val="24"/>
        </w:rPr>
        <w:t xml:space="preserve">uczestnictwa we </w:t>
      </w:r>
      <w:r w:rsidRPr="00B824AA">
        <w:rPr>
          <w:rFonts w:ascii="Times New Roman" w:hAnsi="Times New Roman" w:cs="Times New Roman"/>
          <w:sz w:val="24"/>
          <w:szCs w:val="24"/>
        </w:rPr>
        <w:t xml:space="preserve">wczesnej edukacji, który wskazuje na odsetek dzieci 4-letnich, które uczestniczą w edukacji przedszkolnej. Dostęp do edukacji na wczesnych etapach rozwoju dzieci wskazywany jest jako ważna inwestycja w rozwój kapitału ludzkiego. Na przykład </w:t>
      </w:r>
      <w:proofErr w:type="spellStart"/>
      <w:r w:rsidRPr="00DD66AD">
        <w:rPr>
          <w:rFonts w:ascii="Times New Roman" w:hAnsi="Times New Roman" w:cs="Times New Roman"/>
          <w:sz w:val="24"/>
          <w:szCs w:val="24"/>
        </w:rPr>
        <w:t>Heckmann</w:t>
      </w:r>
      <w:proofErr w:type="spellEnd"/>
      <w:r w:rsidR="00DD66AD">
        <w:rPr>
          <w:rFonts w:ascii="Times New Roman" w:hAnsi="Times New Roman" w:cs="Times New Roman"/>
          <w:sz w:val="24"/>
          <w:szCs w:val="24"/>
        </w:rPr>
        <w:t xml:space="preserve"> (2012)</w:t>
      </w:r>
      <w:r w:rsidRPr="00B824AA">
        <w:rPr>
          <w:rFonts w:ascii="Times New Roman" w:hAnsi="Times New Roman" w:cs="Times New Roman"/>
          <w:sz w:val="24"/>
          <w:szCs w:val="24"/>
        </w:rPr>
        <w:t xml:space="preserve"> wskazuje, że stopa zwrotu z inwestycji w edukację na wczesnych etapach rozwoju dzieci jest najwyższa. </w:t>
      </w:r>
      <w:r w:rsidR="002A0B56">
        <w:rPr>
          <w:rFonts w:ascii="Times New Roman" w:hAnsi="Times New Roman" w:cs="Times New Roman"/>
          <w:sz w:val="24"/>
          <w:szCs w:val="24"/>
        </w:rPr>
        <w:t>Uczestnictwo dzieci 4-letnich w edukacji przedszkolnej w Polsce w latach 2010-2020 rosło szybciej niż w innych krajach UE</w:t>
      </w:r>
      <w:r w:rsidRPr="00B824AA">
        <w:rPr>
          <w:rFonts w:ascii="Times New Roman" w:hAnsi="Times New Roman" w:cs="Times New Roman"/>
          <w:sz w:val="24"/>
          <w:szCs w:val="24"/>
        </w:rPr>
        <w:t>. W 202</w:t>
      </w:r>
      <w:r w:rsidR="00695EB0">
        <w:rPr>
          <w:rFonts w:ascii="Times New Roman" w:hAnsi="Times New Roman" w:cs="Times New Roman"/>
          <w:sz w:val="24"/>
          <w:szCs w:val="24"/>
        </w:rPr>
        <w:t>2</w:t>
      </w:r>
      <w:r w:rsidRPr="00B824AA">
        <w:rPr>
          <w:rFonts w:ascii="Times New Roman" w:hAnsi="Times New Roman" w:cs="Times New Roman"/>
          <w:sz w:val="24"/>
          <w:szCs w:val="24"/>
        </w:rPr>
        <w:t xml:space="preserve"> r. odsetek 4-latków uczestniczących w edukacji przedszkolnej był na poziomie 9</w:t>
      </w:r>
      <w:r w:rsidR="00695EB0">
        <w:rPr>
          <w:rFonts w:ascii="Times New Roman" w:hAnsi="Times New Roman" w:cs="Times New Roman"/>
          <w:sz w:val="24"/>
          <w:szCs w:val="24"/>
        </w:rPr>
        <w:t>8</w:t>
      </w:r>
      <w:r w:rsidR="00DE6C7B">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w relacji do krajów UE 2</w:t>
      </w:r>
      <w:r w:rsidR="00DE6C7B">
        <w:rPr>
          <w:rFonts w:ascii="Times New Roman" w:hAnsi="Times New Roman" w:cs="Times New Roman"/>
          <w:sz w:val="24"/>
          <w:szCs w:val="24"/>
        </w:rPr>
        <w:t>7</w:t>
      </w:r>
      <w:r w:rsidR="002A0B56">
        <w:rPr>
          <w:rFonts w:ascii="Times New Roman" w:hAnsi="Times New Roman" w:cs="Times New Roman"/>
          <w:sz w:val="24"/>
          <w:szCs w:val="24"/>
        </w:rPr>
        <w:t xml:space="preserve">, </w:t>
      </w:r>
      <w:r w:rsidR="00695EB0">
        <w:rPr>
          <w:rFonts w:ascii="Times New Roman" w:hAnsi="Times New Roman" w:cs="Times New Roman"/>
          <w:sz w:val="24"/>
          <w:szCs w:val="24"/>
        </w:rPr>
        <w:t>o 2 punkty procentowe więcej niż</w:t>
      </w:r>
      <w:r w:rsidR="002A0B56">
        <w:rPr>
          <w:rFonts w:ascii="Times New Roman" w:hAnsi="Times New Roman" w:cs="Times New Roman"/>
          <w:sz w:val="24"/>
          <w:szCs w:val="24"/>
        </w:rPr>
        <w:t xml:space="preserve"> </w:t>
      </w:r>
      <w:r w:rsidR="00695EB0">
        <w:rPr>
          <w:rFonts w:ascii="Times New Roman" w:hAnsi="Times New Roman" w:cs="Times New Roman"/>
          <w:sz w:val="24"/>
          <w:szCs w:val="24"/>
        </w:rPr>
        <w:t xml:space="preserve">w </w:t>
      </w:r>
      <w:r w:rsidR="002A0B56">
        <w:rPr>
          <w:rFonts w:ascii="Times New Roman" w:hAnsi="Times New Roman" w:cs="Times New Roman"/>
          <w:sz w:val="24"/>
          <w:szCs w:val="24"/>
        </w:rPr>
        <w:t>202</w:t>
      </w:r>
      <w:r w:rsidR="00695EB0">
        <w:rPr>
          <w:rFonts w:ascii="Times New Roman" w:hAnsi="Times New Roman" w:cs="Times New Roman"/>
          <w:sz w:val="24"/>
          <w:szCs w:val="24"/>
        </w:rPr>
        <w:t>1</w:t>
      </w:r>
      <w:r w:rsidR="002A0B56">
        <w:rPr>
          <w:rFonts w:ascii="Times New Roman" w:hAnsi="Times New Roman" w:cs="Times New Roman"/>
          <w:sz w:val="24"/>
          <w:szCs w:val="24"/>
        </w:rPr>
        <w:t xml:space="preserve"> r.</w:t>
      </w:r>
      <w:r w:rsidRPr="00B824AA">
        <w:rPr>
          <w:rFonts w:ascii="Times New Roman" w:hAnsi="Times New Roman" w:cs="Times New Roman"/>
          <w:sz w:val="24"/>
          <w:szCs w:val="24"/>
        </w:rPr>
        <w:t xml:space="preserve"> </w:t>
      </w:r>
      <w:r w:rsidR="002A0B56">
        <w:rPr>
          <w:rFonts w:ascii="Times New Roman" w:hAnsi="Times New Roman" w:cs="Times New Roman"/>
          <w:sz w:val="24"/>
          <w:szCs w:val="24"/>
        </w:rPr>
        <w:t>Wskaźnik ten jest</w:t>
      </w:r>
      <w:r w:rsidRPr="00B824AA">
        <w:rPr>
          <w:rFonts w:ascii="Times New Roman" w:hAnsi="Times New Roman" w:cs="Times New Roman"/>
          <w:sz w:val="24"/>
          <w:szCs w:val="24"/>
        </w:rPr>
        <w:t xml:space="preserve"> niższ</w:t>
      </w:r>
      <w:r w:rsidR="002A0B56">
        <w:rPr>
          <w:rFonts w:ascii="Times New Roman" w:hAnsi="Times New Roman" w:cs="Times New Roman"/>
          <w:sz w:val="24"/>
          <w:szCs w:val="24"/>
        </w:rPr>
        <w:t>y</w:t>
      </w:r>
      <w:r w:rsidRPr="00B824AA">
        <w:rPr>
          <w:rFonts w:ascii="Times New Roman" w:hAnsi="Times New Roman" w:cs="Times New Roman"/>
          <w:sz w:val="24"/>
          <w:szCs w:val="24"/>
        </w:rPr>
        <w:t xml:space="preserve"> w </w:t>
      </w:r>
      <w:r w:rsidR="002A0B56">
        <w:rPr>
          <w:rFonts w:ascii="Times New Roman" w:hAnsi="Times New Roman" w:cs="Times New Roman"/>
          <w:sz w:val="24"/>
          <w:szCs w:val="24"/>
        </w:rPr>
        <w:t>porównaniu do krajów UE 14</w:t>
      </w:r>
      <w:r w:rsidRPr="00B824AA">
        <w:rPr>
          <w:rFonts w:ascii="Times New Roman" w:hAnsi="Times New Roman" w:cs="Times New Roman"/>
          <w:sz w:val="24"/>
          <w:szCs w:val="24"/>
        </w:rPr>
        <w:t xml:space="preserve"> (9</w:t>
      </w:r>
      <w:r w:rsidR="00695EB0">
        <w:rPr>
          <w:rFonts w:ascii="Times New Roman" w:hAnsi="Times New Roman" w:cs="Times New Roman"/>
          <w:sz w:val="24"/>
          <w:szCs w:val="24"/>
        </w:rPr>
        <w:t>6</w:t>
      </w:r>
      <w:r w:rsidR="002A0B56">
        <w:rPr>
          <w:rFonts w:ascii="Times New Roman" w:hAnsi="Times New Roman" w:cs="Times New Roman"/>
          <w:sz w:val="24"/>
          <w:szCs w:val="24"/>
        </w:rPr>
        <w:t xml:space="preserve"> procent w 202</w:t>
      </w:r>
      <w:r w:rsidR="00695EB0">
        <w:rPr>
          <w:rFonts w:ascii="Times New Roman" w:hAnsi="Times New Roman" w:cs="Times New Roman"/>
          <w:sz w:val="24"/>
          <w:szCs w:val="24"/>
        </w:rPr>
        <w:t>2</w:t>
      </w:r>
      <w:r w:rsidR="002A0B56">
        <w:rPr>
          <w:rFonts w:ascii="Times New Roman" w:hAnsi="Times New Roman" w:cs="Times New Roman"/>
          <w:sz w:val="24"/>
          <w:szCs w:val="24"/>
        </w:rPr>
        <w:t xml:space="preserve"> r.</w:t>
      </w:r>
      <w:r w:rsidRPr="00B824AA">
        <w:rPr>
          <w:rFonts w:ascii="Times New Roman" w:hAnsi="Times New Roman" w:cs="Times New Roman"/>
          <w:sz w:val="24"/>
          <w:szCs w:val="24"/>
        </w:rPr>
        <w:t>), a wyższ</w:t>
      </w:r>
      <w:r w:rsidR="002A0B56">
        <w:rPr>
          <w:rFonts w:ascii="Times New Roman" w:hAnsi="Times New Roman" w:cs="Times New Roman"/>
          <w:sz w:val="24"/>
          <w:szCs w:val="24"/>
        </w:rPr>
        <w:t>y</w:t>
      </w:r>
      <w:r w:rsidRPr="00B824AA">
        <w:rPr>
          <w:rFonts w:ascii="Times New Roman" w:hAnsi="Times New Roman" w:cs="Times New Roman"/>
          <w:sz w:val="24"/>
          <w:szCs w:val="24"/>
        </w:rPr>
        <w:t xml:space="preserve"> w relacji do krajów </w:t>
      </w:r>
      <w:r w:rsidR="002A0B56">
        <w:rPr>
          <w:rFonts w:ascii="Times New Roman" w:hAnsi="Times New Roman" w:cs="Times New Roman"/>
          <w:sz w:val="24"/>
          <w:szCs w:val="24"/>
        </w:rPr>
        <w:t>UE 13</w:t>
      </w:r>
      <w:r w:rsidRPr="00B824AA">
        <w:rPr>
          <w:rFonts w:ascii="Times New Roman" w:hAnsi="Times New Roman" w:cs="Times New Roman"/>
          <w:sz w:val="24"/>
          <w:szCs w:val="24"/>
        </w:rPr>
        <w:t xml:space="preserve"> (10</w:t>
      </w:r>
      <w:r w:rsidR="00012656">
        <w:rPr>
          <w:rFonts w:ascii="Times New Roman" w:hAnsi="Times New Roman" w:cs="Times New Roman"/>
          <w:sz w:val="24"/>
          <w:szCs w:val="24"/>
        </w:rPr>
        <w:t>5</w:t>
      </w:r>
      <w:r w:rsidR="002A0B56">
        <w:rPr>
          <w:rFonts w:ascii="Times New Roman" w:hAnsi="Times New Roman" w:cs="Times New Roman"/>
          <w:sz w:val="24"/>
          <w:szCs w:val="24"/>
        </w:rPr>
        <w:t xml:space="preserve"> procent</w:t>
      </w:r>
      <w:r w:rsidR="00012656">
        <w:rPr>
          <w:rFonts w:ascii="Times New Roman" w:hAnsi="Times New Roman" w:cs="Times New Roman"/>
          <w:sz w:val="24"/>
          <w:szCs w:val="24"/>
        </w:rPr>
        <w:t xml:space="preserve"> w 2022 r.</w:t>
      </w:r>
      <w:r w:rsidRPr="00B824AA">
        <w:rPr>
          <w:rFonts w:ascii="Times New Roman" w:hAnsi="Times New Roman" w:cs="Times New Roman"/>
          <w:sz w:val="24"/>
          <w:szCs w:val="24"/>
        </w:rPr>
        <w:t xml:space="preserve">). Od 2010 r. </w:t>
      </w:r>
      <w:r w:rsidR="00012656">
        <w:rPr>
          <w:rFonts w:ascii="Times New Roman" w:hAnsi="Times New Roman" w:cs="Times New Roman"/>
          <w:sz w:val="24"/>
          <w:szCs w:val="24"/>
        </w:rPr>
        <w:t xml:space="preserve">do 2022 r. </w:t>
      </w:r>
      <w:r w:rsidRPr="00B824AA">
        <w:rPr>
          <w:rFonts w:ascii="Times New Roman" w:hAnsi="Times New Roman" w:cs="Times New Roman"/>
          <w:sz w:val="24"/>
          <w:szCs w:val="24"/>
        </w:rPr>
        <w:t>wartość tego wskaźnika</w:t>
      </w:r>
      <w:r w:rsidR="002A0B56">
        <w:rPr>
          <w:rFonts w:ascii="Times New Roman" w:hAnsi="Times New Roman" w:cs="Times New Roman"/>
          <w:sz w:val="24"/>
          <w:szCs w:val="24"/>
        </w:rPr>
        <w:t xml:space="preserve"> w porównaniu do grupy krajów UE 27</w:t>
      </w:r>
      <w:r w:rsidRPr="00B824AA">
        <w:rPr>
          <w:rFonts w:ascii="Times New Roman" w:hAnsi="Times New Roman" w:cs="Times New Roman"/>
          <w:sz w:val="24"/>
          <w:szCs w:val="24"/>
        </w:rPr>
        <w:t xml:space="preserve"> zwiększyła się o </w:t>
      </w:r>
      <w:r w:rsidR="009B2AAE">
        <w:rPr>
          <w:rFonts w:ascii="Times New Roman" w:hAnsi="Times New Roman" w:cs="Times New Roman"/>
          <w:sz w:val="24"/>
          <w:szCs w:val="24"/>
        </w:rPr>
        <w:t>2</w:t>
      </w:r>
      <w:r w:rsidR="00012656">
        <w:rPr>
          <w:rFonts w:ascii="Times New Roman" w:hAnsi="Times New Roman" w:cs="Times New Roman"/>
          <w:sz w:val="24"/>
          <w:szCs w:val="24"/>
        </w:rPr>
        <w:t>4</w:t>
      </w:r>
      <w:r w:rsidR="009B2AAE">
        <w:rPr>
          <w:rFonts w:ascii="Times New Roman" w:hAnsi="Times New Roman" w:cs="Times New Roman"/>
          <w:sz w:val="24"/>
          <w:szCs w:val="24"/>
        </w:rPr>
        <w:t xml:space="preserve"> </w:t>
      </w:r>
      <w:r w:rsidRPr="00B824AA">
        <w:rPr>
          <w:rFonts w:ascii="Times New Roman" w:hAnsi="Times New Roman" w:cs="Times New Roman"/>
          <w:sz w:val="24"/>
          <w:szCs w:val="24"/>
        </w:rPr>
        <w:t>punkt</w:t>
      </w:r>
      <w:r w:rsidR="009B2AAE">
        <w:rPr>
          <w:rFonts w:ascii="Times New Roman" w:hAnsi="Times New Roman" w:cs="Times New Roman"/>
          <w:sz w:val="24"/>
          <w:szCs w:val="24"/>
        </w:rPr>
        <w:t>y</w:t>
      </w:r>
      <w:r w:rsidRPr="00B824AA">
        <w:rPr>
          <w:rFonts w:ascii="Times New Roman" w:hAnsi="Times New Roman" w:cs="Times New Roman"/>
          <w:sz w:val="24"/>
          <w:szCs w:val="24"/>
        </w:rPr>
        <w:t xml:space="preserve"> procentow</w:t>
      </w:r>
      <w:r w:rsidR="009B2AAE">
        <w:rPr>
          <w:rFonts w:ascii="Times New Roman" w:hAnsi="Times New Roman" w:cs="Times New Roman"/>
          <w:sz w:val="24"/>
          <w:szCs w:val="24"/>
        </w:rPr>
        <w:t>e</w:t>
      </w:r>
      <w:r w:rsidRPr="00B824AA">
        <w:rPr>
          <w:rFonts w:ascii="Times New Roman" w:hAnsi="Times New Roman" w:cs="Times New Roman"/>
          <w:sz w:val="24"/>
          <w:szCs w:val="24"/>
        </w:rPr>
        <w:t xml:space="preserve">. Zmiana ta związana jest przede wszystkim z ekspansją edukacji przedszkolnej, i uprawnieniu wszystkich dzieci w wieku 3-5 lat do edukacji przedszkolnej. </w:t>
      </w:r>
    </w:p>
    <w:p w14:paraId="56656D68" w14:textId="6B969433"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Drugim wskaźnikiem cząstkowym </w:t>
      </w:r>
      <w:r w:rsidR="009B2AAE">
        <w:rPr>
          <w:rFonts w:ascii="Times New Roman" w:hAnsi="Times New Roman" w:cs="Times New Roman"/>
          <w:sz w:val="24"/>
          <w:szCs w:val="24"/>
        </w:rPr>
        <w:t xml:space="preserve">w wymiarze </w:t>
      </w:r>
      <w:r w:rsidR="00012656">
        <w:rPr>
          <w:rFonts w:ascii="Times New Roman" w:hAnsi="Times New Roman" w:cs="Times New Roman"/>
          <w:sz w:val="24"/>
          <w:szCs w:val="24"/>
        </w:rPr>
        <w:t>e</w:t>
      </w:r>
      <w:r w:rsidR="009B2AAE">
        <w:rPr>
          <w:rFonts w:ascii="Times New Roman" w:hAnsi="Times New Roman" w:cs="Times New Roman"/>
          <w:sz w:val="24"/>
          <w:szCs w:val="24"/>
        </w:rPr>
        <w:t xml:space="preserve">dukacja </w:t>
      </w:r>
      <w:r w:rsidRPr="00B824AA">
        <w:rPr>
          <w:rFonts w:ascii="Times New Roman" w:hAnsi="Times New Roman" w:cs="Times New Roman"/>
          <w:sz w:val="24"/>
          <w:szCs w:val="24"/>
        </w:rPr>
        <w:t xml:space="preserve">jest wskaźnik uczenia się przez całe życie, który odnosi się do udziału osób dorosłych w kształceniu i szkoleniach w ciągu ostatnich 4 tygodni. Wskaźnik ten jest szacowany na podstawie badań aktywności ekonomicznej ludności. Wartości tego wskaźnika wskazują na </w:t>
      </w:r>
      <w:r w:rsidR="00233AC5">
        <w:rPr>
          <w:rFonts w:ascii="Times New Roman" w:hAnsi="Times New Roman" w:cs="Times New Roman"/>
          <w:sz w:val="24"/>
          <w:szCs w:val="24"/>
        </w:rPr>
        <w:t>utrzymujący się znaczny</w:t>
      </w:r>
      <w:r w:rsidRPr="00B824AA">
        <w:rPr>
          <w:rFonts w:ascii="Times New Roman" w:hAnsi="Times New Roman" w:cs="Times New Roman"/>
          <w:sz w:val="24"/>
          <w:szCs w:val="24"/>
        </w:rPr>
        <w:t xml:space="preserve"> dystans Polski do krajów UE 2</w:t>
      </w:r>
      <w:r w:rsidR="00E26BAA" w:rsidRPr="00B824AA">
        <w:rPr>
          <w:rFonts w:ascii="Times New Roman" w:hAnsi="Times New Roman" w:cs="Times New Roman"/>
          <w:sz w:val="24"/>
          <w:szCs w:val="24"/>
        </w:rPr>
        <w:t>7, jak również UE 14 i UE 13</w:t>
      </w:r>
      <w:r w:rsidRPr="00B824AA">
        <w:rPr>
          <w:rFonts w:ascii="Times New Roman" w:hAnsi="Times New Roman" w:cs="Times New Roman"/>
          <w:sz w:val="24"/>
          <w:szCs w:val="24"/>
        </w:rPr>
        <w:t>. W 202</w:t>
      </w:r>
      <w:r w:rsidR="00001927">
        <w:rPr>
          <w:rFonts w:ascii="Times New Roman" w:hAnsi="Times New Roman" w:cs="Times New Roman"/>
          <w:sz w:val="24"/>
          <w:szCs w:val="24"/>
        </w:rPr>
        <w:t>2</w:t>
      </w:r>
      <w:r w:rsidRPr="00B824AA">
        <w:rPr>
          <w:rFonts w:ascii="Times New Roman" w:hAnsi="Times New Roman" w:cs="Times New Roman"/>
          <w:sz w:val="24"/>
          <w:szCs w:val="24"/>
        </w:rPr>
        <w:t xml:space="preserve"> r. wartość wskaźnika cząstkowego dla krajów UE 2</w:t>
      </w:r>
      <w:r w:rsidR="00A21C9B">
        <w:rPr>
          <w:rFonts w:ascii="Times New Roman" w:hAnsi="Times New Roman" w:cs="Times New Roman"/>
          <w:sz w:val="24"/>
          <w:szCs w:val="24"/>
        </w:rPr>
        <w:t>7</w:t>
      </w:r>
      <w:r w:rsidRPr="00B824AA">
        <w:rPr>
          <w:rFonts w:ascii="Times New Roman" w:hAnsi="Times New Roman" w:cs="Times New Roman"/>
          <w:sz w:val="24"/>
          <w:szCs w:val="24"/>
        </w:rPr>
        <w:t xml:space="preserve"> kształtowała się na poziomie </w:t>
      </w:r>
      <w:r w:rsidR="00001927">
        <w:rPr>
          <w:rFonts w:ascii="Times New Roman" w:hAnsi="Times New Roman" w:cs="Times New Roman"/>
          <w:sz w:val="24"/>
          <w:szCs w:val="24"/>
        </w:rPr>
        <w:t>57</w:t>
      </w:r>
      <w:r w:rsidR="00EB1304">
        <w:rPr>
          <w:rFonts w:ascii="Times New Roman" w:hAnsi="Times New Roman" w:cs="Times New Roman"/>
          <w:sz w:val="24"/>
          <w:szCs w:val="24"/>
        </w:rPr>
        <w:t xml:space="preserve"> procent</w:t>
      </w:r>
      <w:r w:rsidR="004265B0">
        <w:rPr>
          <w:rFonts w:ascii="Times New Roman" w:hAnsi="Times New Roman" w:cs="Times New Roman"/>
          <w:sz w:val="24"/>
          <w:szCs w:val="24"/>
        </w:rPr>
        <w:t>.</w:t>
      </w:r>
      <w:r w:rsidR="00EB1304">
        <w:rPr>
          <w:rFonts w:ascii="Times New Roman" w:hAnsi="Times New Roman" w:cs="Times New Roman"/>
          <w:sz w:val="24"/>
          <w:szCs w:val="24"/>
        </w:rPr>
        <w:t xml:space="preserve"> Jest to w</w:t>
      </w:r>
      <w:r w:rsidR="002154B2">
        <w:rPr>
          <w:rFonts w:ascii="Times New Roman" w:hAnsi="Times New Roman" w:cs="Times New Roman"/>
          <w:sz w:val="24"/>
          <w:szCs w:val="24"/>
        </w:rPr>
        <w:t>z</w:t>
      </w:r>
      <w:r w:rsidR="00EB1304">
        <w:rPr>
          <w:rFonts w:ascii="Times New Roman" w:hAnsi="Times New Roman" w:cs="Times New Roman"/>
          <w:sz w:val="24"/>
          <w:szCs w:val="24"/>
        </w:rPr>
        <w:t xml:space="preserve">rost w </w:t>
      </w:r>
      <w:r w:rsidR="002154B2">
        <w:rPr>
          <w:rFonts w:ascii="Times New Roman" w:hAnsi="Times New Roman" w:cs="Times New Roman"/>
          <w:sz w:val="24"/>
          <w:szCs w:val="24"/>
        </w:rPr>
        <w:t>porównaniu do 202</w:t>
      </w:r>
      <w:r w:rsidR="00001927">
        <w:rPr>
          <w:rFonts w:ascii="Times New Roman" w:hAnsi="Times New Roman" w:cs="Times New Roman"/>
          <w:sz w:val="24"/>
          <w:szCs w:val="24"/>
        </w:rPr>
        <w:t>1 </w:t>
      </w:r>
      <w:r w:rsidR="002154B2">
        <w:rPr>
          <w:rFonts w:ascii="Times New Roman" w:hAnsi="Times New Roman" w:cs="Times New Roman"/>
          <w:sz w:val="24"/>
          <w:szCs w:val="24"/>
        </w:rPr>
        <w:t>r.</w:t>
      </w:r>
      <w:r w:rsidR="00E535D7">
        <w:rPr>
          <w:rFonts w:ascii="Times New Roman" w:hAnsi="Times New Roman" w:cs="Times New Roman"/>
          <w:sz w:val="24"/>
          <w:szCs w:val="24"/>
        </w:rPr>
        <w:t xml:space="preserve"> </w:t>
      </w:r>
      <w:r w:rsidR="00E535D7">
        <w:rPr>
          <w:rFonts w:ascii="Times New Roman" w:hAnsi="Times New Roman" w:cs="Times New Roman"/>
          <w:sz w:val="24"/>
          <w:szCs w:val="24"/>
        </w:rPr>
        <w:lastRenderedPageBreak/>
        <w:t>o 7 punktów procentowych</w:t>
      </w:r>
      <w:r w:rsidRPr="00B824AA">
        <w:rPr>
          <w:rFonts w:ascii="Times New Roman" w:hAnsi="Times New Roman" w:cs="Times New Roman"/>
          <w:sz w:val="24"/>
          <w:szCs w:val="24"/>
        </w:rPr>
        <w:t xml:space="preserve">, </w:t>
      </w:r>
      <w:r w:rsidR="004265B0">
        <w:rPr>
          <w:rFonts w:ascii="Times New Roman" w:hAnsi="Times New Roman" w:cs="Times New Roman"/>
          <w:sz w:val="24"/>
          <w:szCs w:val="24"/>
        </w:rPr>
        <w:t>co wynika z tego, że udział dorosłych Polaków w różnych formach uczenia się przez całe życie w 202</w:t>
      </w:r>
      <w:r w:rsidR="00E96DFC">
        <w:rPr>
          <w:rFonts w:ascii="Times New Roman" w:hAnsi="Times New Roman" w:cs="Times New Roman"/>
          <w:sz w:val="24"/>
          <w:szCs w:val="24"/>
        </w:rPr>
        <w:t>2</w:t>
      </w:r>
      <w:r w:rsidR="004265B0">
        <w:rPr>
          <w:rFonts w:ascii="Times New Roman" w:hAnsi="Times New Roman" w:cs="Times New Roman"/>
          <w:sz w:val="24"/>
          <w:szCs w:val="24"/>
        </w:rPr>
        <w:t xml:space="preserve"> r. był w Polsce najwyższy ze wszystkich analizowanych latach</w:t>
      </w:r>
      <w:r w:rsidR="00E96DFC">
        <w:rPr>
          <w:rFonts w:ascii="Times New Roman" w:hAnsi="Times New Roman" w:cs="Times New Roman"/>
          <w:sz w:val="24"/>
          <w:szCs w:val="24"/>
        </w:rPr>
        <w:t xml:space="preserve"> (</w:t>
      </w:r>
      <w:r w:rsidR="00DC5BF7">
        <w:rPr>
          <w:rFonts w:ascii="Times New Roman" w:hAnsi="Times New Roman" w:cs="Times New Roman"/>
          <w:sz w:val="24"/>
          <w:szCs w:val="24"/>
        </w:rPr>
        <w:t>8,7%), chociaż nadal niższy niż przeciętnie w UE</w:t>
      </w:r>
      <w:r w:rsidRPr="00B824AA">
        <w:rPr>
          <w:rFonts w:ascii="Times New Roman" w:hAnsi="Times New Roman" w:cs="Times New Roman"/>
          <w:sz w:val="24"/>
          <w:szCs w:val="24"/>
        </w:rPr>
        <w:t xml:space="preserve">. W </w:t>
      </w:r>
      <w:r w:rsidR="004265B0">
        <w:rPr>
          <w:rFonts w:ascii="Times New Roman" w:hAnsi="Times New Roman" w:cs="Times New Roman"/>
          <w:sz w:val="24"/>
          <w:szCs w:val="24"/>
        </w:rPr>
        <w:t>porównaniu do</w:t>
      </w:r>
      <w:r w:rsidRPr="00B824AA">
        <w:rPr>
          <w:rFonts w:ascii="Times New Roman" w:hAnsi="Times New Roman" w:cs="Times New Roman"/>
          <w:sz w:val="24"/>
          <w:szCs w:val="24"/>
        </w:rPr>
        <w:t xml:space="preserve"> krajów </w:t>
      </w:r>
      <w:r w:rsidR="00E26BAA" w:rsidRPr="00B824AA">
        <w:rPr>
          <w:rFonts w:ascii="Times New Roman" w:hAnsi="Times New Roman" w:cs="Times New Roman"/>
          <w:sz w:val="24"/>
          <w:szCs w:val="24"/>
        </w:rPr>
        <w:t>UE 14</w:t>
      </w:r>
      <w:r w:rsidRPr="00B824AA">
        <w:rPr>
          <w:rFonts w:ascii="Times New Roman" w:hAnsi="Times New Roman" w:cs="Times New Roman"/>
          <w:sz w:val="24"/>
          <w:szCs w:val="24"/>
        </w:rPr>
        <w:t xml:space="preserve"> wskaźnik ten był</w:t>
      </w:r>
      <w:r w:rsidR="00DC5BF7">
        <w:rPr>
          <w:rFonts w:ascii="Times New Roman" w:hAnsi="Times New Roman" w:cs="Times New Roman"/>
          <w:sz w:val="24"/>
          <w:szCs w:val="24"/>
        </w:rPr>
        <w:t xml:space="preserve"> </w:t>
      </w:r>
      <w:r w:rsidRPr="00B824AA">
        <w:rPr>
          <w:rFonts w:ascii="Times New Roman" w:hAnsi="Times New Roman" w:cs="Times New Roman"/>
          <w:sz w:val="24"/>
          <w:szCs w:val="24"/>
        </w:rPr>
        <w:t>niższy (</w:t>
      </w:r>
      <w:r w:rsidR="00DC5BF7">
        <w:rPr>
          <w:rFonts w:ascii="Times New Roman" w:hAnsi="Times New Roman" w:cs="Times New Roman"/>
          <w:sz w:val="24"/>
          <w:szCs w:val="24"/>
        </w:rPr>
        <w:t>50</w:t>
      </w:r>
      <w:r w:rsidR="004265B0">
        <w:rPr>
          <w:rFonts w:ascii="Times New Roman" w:hAnsi="Times New Roman" w:cs="Times New Roman"/>
          <w:sz w:val="24"/>
          <w:szCs w:val="24"/>
        </w:rPr>
        <w:t xml:space="preserve"> procent</w:t>
      </w:r>
      <w:r w:rsidRPr="00B824AA">
        <w:rPr>
          <w:rFonts w:ascii="Times New Roman" w:hAnsi="Times New Roman" w:cs="Times New Roman"/>
          <w:sz w:val="24"/>
          <w:szCs w:val="24"/>
        </w:rPr>
        <w:t>)</w:t>
      </w:r>
      <w:r w:rsidR="00226920">
        <w:rPr>
          <w:rFonts w:ascii="Times New Roman" w:hAnsi="Times New Roman" w:cs="Times New Roman"/>
          <w:sz w:val="24"/>
          <w:szCs w:val="24"/>
        </w:rPr>
        <w:t xml:space="preserve"> niż w przypadku </w:t>
      </w:r>
      <w:r w:rsidRPr="00B824AA">
        <w:rPr>
          <w:rFonts w:ascii="Times New Roman" w:hAnsi="Times New Roman" w:cs="Times New Roman"/>
          <w:sz w:val="24"/>
          <w:szCs w:val="24"/>
        </w:rPr>
        <w:t xml:space="preserve">krajów </w:t>
      </w:r>
      <w:r w:rsidR="00E26BAA" w:rsidRPr="00B824AA">
        <w:rPr>
          <w:rFonts w:ascii="Times New Roman" w:hAnsi="Times New Roman" w:cs="Times New Roman"/>
          <w:sz w:val="24"/>
          <w:szCs w:val="24"/>
        </w:rPr>
        <w:t>UE 13</w:t>
      </w:r>
      <w:r w:rsidRPr="00B824AA">
        <w:rPr>
          <w:rFonts w:ascii="Times New Roman" w:hAnsi="Times New Roman" w:cs="Times New Roman"/>
          <w:sz w:val="24"/>
          <w:szCs w:val="24"/>
        </w:rPr>
        <w:t xml:space="preserve"> (</w:t>
      </w:r>
      <w:r w:rsidR="002C17F3">
        <w:rPr>
          <w:rFonts w:ascii="Times New Roman" w:hAnsi="Times New Roman" w:cs="Times New Roman"/>
          <w:sz w:val="24"/>
          <w:szCs w:val="24"/>
        </w:rPr>
        <w:t>78</w:t>
      </w:r>
      <w:r w:rsidR="00E72CBD">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w 202</w:t>
      </w:r>
      <w:r w:rsidR="002C17F3">
        <w:rPr>
          <w:rFonts w:ascii="Times New Roman" w:hAnsi="Times New Roman" w:cs="Times New Roman"/>
          <w:sz w:val="24"/>
          <w:szCs w:val="24"/>
        </w:rPr>
        <w:t>2</w:t>
      </w:r>
      <w:r w:rsidRPr="00B824AA">
        <w:rPr>
          <w:rFonts w:ascii="Times New Roman" w:hAnsi="Times New Roman" w:cs="Times New Roman"/>
          <w:sz w:val="24"/>
          <w:szCs w:val="24"/>
        </w:rPr>
        <w:t xml:space="preserve"> r.).</w:t>
      </w:r>
      <w:r w:rsidR="002C17F3">
        <w:rPr>
          <w:rFonts w:ascii="Times New Roman" w:hAnsi="Times New Roman" w:cs="Times New Roman"/>
          <w:sz w:val="24"/>
          <w:szCs w:val="24"/>
        </w:rPr>
        <w:t xml:space="preserve"> Warto podkreślić, że 2022 r. wzrósł dystans Polski do krajów UE 13 (o </w:t>
      </w:r>
      <w:r w:rsidR="00E552C9">
        <w:rPr>
          <w:rFonts w:ascii="Times New Roman" w:hAnsi="Times New Roman" w:cs="Times New Roman"/>
          <w:sz w:val="24"/>
          <w:szCs w:val="24"/>
        </w:rPr>
        <w:t>16 punktów procentowych).</w:t>
      </w:r>
      <w:r w:rsidRPr="00B824AA">
        <w:rPr>
          <w:rFonts w:ascii="Times New Roman" w:hAnsi="Times New Roman" w:cs="Times New Roman"/>
          <w:sz w:val="24"/>
          <w:szCs w:val="24"/>
        </w:rPr>
        <w:t xml:space="preserve"> </w:t>
      </w:r>
    </w:p>
    <w:p w14:paraId="0C2316C9" w14:textId="65DA1CF7"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Trzecim wskaźnikiem, który został włączony do </w:t>
      </w:r>
      <w:r w:rsidR="00E72CBD">
        <w:rPr>
          <w:rFonts w:ascii="Times New Roman" w:hAnsi="Times New Roman" w:cs="Times New Roman"/>
          <w:sz w:val="24"/>
          <w:szCs w:val="24"/>
        </w:rPr>
        <w:t>wymiaru</w:t>
      </w:r>
      <w:r w:rsidRPr="00B824AA">
        <w:rPr>
          <w:rFonts w:ascii="Times New Roman" w:hAnsi="Times New Roman" w:cs="Times New Roman"/>
          <w:sz w:val="24"/>
          <w:szCs w:val="24"/>
        </w:rPr>
        <w:t xml:space="preserve"> edukacja jest odsetek osób w wieku 30-34 lata z wykształceniem wyższym. Jest to jeden z głównych wskaźników wykorzystywanych do monitorowania strategii rozwoju Europy w obszarze edukacji. Wartości tego wskaźnika dla Polski pokazują korzystną sytuację Polski, gdzie odsetek osób w wieku 30-34 lata z wykształceniem wyższym jest powyżej średniej zarówno dla wszystkich krajów UE</w:t>
      </w:r>
      <w:r w:rsidR="00FD693E">
        <w:rPr>
          <w:rFonts w:ascii="Times New Roman" w:hAnsi="Times New Roman" w:cs="Times New Roman"/>
          <w:sz w:val="24"/>
          <w:szCs w:val="24"/>
        </w:rPr>
        <w:t> </w:t>
      </w:r>
      <w:r w:rsidRPr="00B824AA">
        <w:rPr>
          <w:rFonts w:ascii="Times New Roman" w:hAnsi="Times New Roman" w:cs="Times New Roman"/>
          <w:sz w:val="24"/>
          <w:szCs w:val="24"/>
        </w:rPr>
        <w:t>2</w:t>
      </w:r>
      <w:r w:rsidR="006D4F63">
        <w:rPr>
          <w:rFonts w:ascii="Times New Roman" w:hAnsi="Times New Roman" w:cs="Times New Roman"/>
          <w:sz w:val="24"/>
          <w:szCs w:val="24"/>
        </w:rPr>
        <w:t>7</w:t>
      </w:r>
      <w:r w:rsidRPr="00B824AA">
        <w:rPr>
          <w:rFonts w:ascii="Times New Roman" w:hAnsi="Times New Roman" w:cs="Times New Roman"/>
          <w:sz w:val="24"/>
          <w:szCs w:val="24"/>
        </w:rPr>
        <w:t xml:space="preserve"> (1</w:t>
      </w:r>
      <w:r w:rsidR="00433196">
        <w:rPr>
          <w:rFonts w:ascii="Times New Roman" w:hAnsi="Times New Roman" w:cs="Times New Roman"/>
          <w:sz w:val="24"/>
          <w:szCs w:val="24"/>
        </w:rPr>
        <w:t>12</w:t>
      </w:r>
      <w:r w:rsidR="006D4F63">
        <w:rPr>
          <w:rFonts w:ascii="Times New Roman" w:hAnsi="Times New Roman" w:cs="Times New Roman"/>
          <w:sz w:val="24"/>
          <w:szCs w:val="24"/>
        </w:rPr>
        <w:t xml:space="preserve"> procent </w:t>
      </w:r>
      <w:r w:rsidRPr="00B824AA">
        <w:rPr>
          <w:rFonts w:ascii="Times New Roman" w:hAnsi="Times New Roman" w:cs="Times New Roman"/>
          <w:sz w:val="24"/>
          <w:szCs w:val="24"/>
        </w:rPr>
        <w:t>w 202</w:t>
      </w:r>
      <w:r w:rsidR="00433196">
        <w:rPr>
          <w:rFonts w:ascii="Times New Roman" w:hAnsi="Times New Roman" w:cs="Times New Roman"/>
          <w:sz w:val="24"/>
          <w:szCs w:val="24"/>
        </w:rPr>
        <w:t>2</w:t>
      </w:r>
      <w:r w:rsidRPr="00B824AA">
        <w:rPr>
          <w:rFonts w:ascii="Times New Roman" w:hAnsi="Times New Roman" w:cs="Times New Roman"/>
          <w:sz w:val="24"/>
          <w:szCs w:val="24"/>
        </w:rPr>
        <w:t xml:space="preserve"> r.), jak i w przypadku krajów </w:t>
      </w:r>
      <w:r w:rsidR="00E26BAA" w:rsidRPr="00B824AA">
        <w:rPr>
          <w:rFonts w:ascii="Times New Roman" w:hAnsi="Times New Roman" w:cs="Times New Roman"/>
          <w:sz w:val="24"/>
          <w:szCs w:val="24"/>
        </w:rPr>
        <w:t>UE 14</w:t>
      </w:r>
      <w:r w:rsidRPr="00B824AA">
        <w:rPr>
          <w:rFonts w:ascii="Times New Roman" w:hAnsi="Times New Roman" w:cs="Times New Roman"/>
          <w:sz w:val="24"/>
          <w:szCs w:val="24"/>
        </w:rPr>
        <w:t xml:space="preserve"> (10</w:t>
      </w:r>
      <w:r w:rsidR="00433196">
        <w:rPr>
          <w:rFonts w:ascii="Times New Roman" w:hAnsi="Times New Roman" w:cs="Times New Roman"/>
          <w:sz w:val="24"/>
          <w:szCs w:val="24"/>
        </w:rPr>
        <w:t>9</w:t>
      </w:r>
      <w:r w:rsidR="006D4F63">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i </w:t>
      </w:r>
      <w:r w:rsidR="00E26BAA" w:rsidRPr="00B824AA">
        <w:rPr>
          <w:rFonts w:ascii="Times New Roman" w:hAnsi="Times New Roman" w:cs="Times New Roman"/>
          <w:sz w:val="24"/>
          <w:szCs w:val="24"/>
        </w:rPr>
        <w:t xml:space="preserve">UE 13 </w:t>
      </w:r>
      <w:r w:rsidRPr="00B824AA">
        <w:rPr>
          <w:rFonts w:ascii="Times New Roman" w:hAnsi="Times New Roman" w:cs="Times New Roman"/>
          <w:sz w:val="24"/>
          <w:szCs w:val="24"/>
        </w:rPr>
        <w:t>(11</w:t>
      </w:r>
      <w:r w:rsidR="007E0EBA">
        <w:rPr>
          <w:rFonts w:ascii="Times New Roman" w:hAnsi="Times New Roman" w:cs="Times New Roman"/>
          <w:sz w:val="24"/>
          <w:szCs w:val="24"/>
        </w:rPr>
        <w:t>9</w:t>
      </w:r>
      <w:r w:rsidR="006D4F63">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W przypadku tego wskaźnika widoczny jest postęp, który nastąpił </w:t>
      </w:r>
      <w:r w:rsidR="007E0EBA">
        <w:rPr>
          <w:rFonts w:ascii="Times New Roman" w:hAnsi="Times New Roman" w:cs="Times New Roman"/>
          <w:sz w:val="24"/>
          <w:szCs w:val="24"/>
        </w:rPr>
        <w:t xml:space="preserve">szczególnie </w:t>
      </w:r>
      <w:r w:rsidRPr="00B824AA">
        <w:rPr>
          <w:rFonts w:ascii="Times New Roman" w:hAnsi="Times New Roman" w:cs="Times New Roman"/>
          <w:sz w:val="24"/>
          <w:szCs w:val="24"/>
        </w:rPr>
        <w:t xml:space="preserve">pomiędzy 2010 a 2015 r., </w:t>
      </w:r>
      <w:r w:rsidR="007E0EBA">
        <w:rPr>
          <w:rFonts w:ascii="Times New Roman" w:hAnsi="Times New Roman" w:cs="Times New Roman"/>
          <w:sz w:val="24"/>
          <w:szCs w:val="24"/>
        </w:rPr>
        <w:t xml:space="preserve">natomiast </w:t>
      </w:r>
      <w:r w:rsidR="009A100A">
        <w:rPr>
          <w:rFonts w:ascii="Times New Roman" w:hAnsi="Times New Roman" w:cs="Times New Roman"/>
          <w:sz w:val="24"/>
          <w:szCs w:val="24"/>
        </w:rPr>
        <w:t>w ostatnich latach relatywna sytuacja Polski nie zmienia się znacząco</w:t>
      </w:r>
      <w:r w:rsidR="003B6DDE">
        <w:rPr>
          <w:rFonts w:ascii="Times New Roman" w:hAnsi="Times New Roman" w:cs="Times New Roman"/>
          <w:sz w:val="24"/>
          <w:szCs w:val="24"/>
        </w:rPr>
        <w:t xml:space="preserve">. </w:t>
      </w:r>
      <w:r w:rsidR="006D4F63">
        <w:rPr>
          <w:rFonts w:ascii="Times New Roman" w:hAnsi="Times New Roman" w:cs="Times New Roman"/>
          <w:sz w:val="24"/>
          <w:szCs w:val="24"/>
        </w:rPr>
        <w:t>W 202</w:t>
      </w:r>
      <w:r w:rsidR="003B6DDE">
        <w:rPr>
          <w:rFonts w:ascii="Times New Roman" w:hAnsi="Times New Roman" w:cs="Times New Roman"/>
          <w:sz w:val="24"/>
          <w:szCs w:val="24"/>
        </w:rPr>
        <w:t>2</w:t>
      </w:r>
      <w:r w:rsidR="006D4F63">
        <w:rPr>
          <w:rFonts w:ascii="Times New Roman" w:hAnsi="Times New Roman" w:cs="Times New Roman"/>
          <w:sz w:val="24"/>
          <w:szCs w:val="24"/>
        </w:rPr>
        <w:t xml:space="preserve"> r. </w:t>
      </w:r>
      <w:r w:rsidR="003B6DDE">
        <w:rPr>
          <w:rFonts w:ascii="Times New Roman" w:hAnsi="Times New Roman" w:cs="Times New Roman"/>
          <w:sz w:val="24"/>
          <w:szCs w:val="24"/>
        </w:rPr>
        <w:t>obserwujemy wzrost</w:t>
      </w:r>
      <w:r w:rsidR="006D4F63">
        <w:rPr>
          <w:rFonts w:ascii="Times New Roman" w:hAnsi="Times New Roman" w:cs="Times New Roman"/>
          <w:sz w:val="24"/>
          <w:szCs w:val="24"/>
        </w:rPr>
        <w:t xml:space="preserve"> wskaźnika</w:t>
      </w:r>
      <w:r w:rsidR="003B6DDE">
        <w:rPr>
          <w:rFonts w:ascii="Times New Roman" w:hAnsi="Times New Roman" w:cs="Times New Roman"/>
          <w:sz w:val="24"/>
          <w:szCs w:val="24"/>
        </w:rPr>
        <w:t xml:space="preserve"> (w 2021 r. był to spadek)</w:t>
      </w:r>
      <w:r w:rsidR="006D4F63">
        <w:rPr>
          <w:rFonts w:ascii="Times New Roman" w:hAnsi="Times New Roman" w:cs="Times New Roman"/>
          <w:sz w:val="24"/>
          <w:szCs w:val="24"/>
        </w:rPr>
        <w:t xml:space="preserve">, który związany jest z obserwowanym w Polsce </w:t>
      </w:r>
      <w:r w:rsidR="001E372C">
        <w:rPr>
          <w:rFonts w:ascii="Times New Roman" w:hAnsi="Times New Roman" w:cs="Times New Roman"/>
          <w:sz w:val="24"/>
          <w:szCs w:val="24"/>
        </w:rPr>
        <w:t>ponownym wzrostem</w:t>
      </w:r>
      <w:r w:rsidR="006D4F63">
        <w:rPr>
          <w:rFonts w:ascii="Times New Roman" w:hAnsi="Times New Roman" w:cs="Times New Roman"/>
          <w:sz w:val="24"/>
          <w:szCs w:val="24"/>
        </w:rPr>
        <w:t xml:space="preserve"> udziału osób w wieku 30-34 lata z wykształceniem wyższym, </w:t>
      </w:r>
      <w:r w:rsidR="002C33C5">
        <w:rPr>
          <w:rFonts w:ascii="Times New Roman" w:hAnsi="Times New Roman" w:cs="Times New Roman"/>
          <w:sz w:val="24"/>
          <w:szCs w:val="24"/>
        </w:rPr>
        <w:t>który w 2022 r. wyniósł 49.2 procent</w:t>
      </w:r>
      <w:r w:rsidR="006D4F63">
        <w:rPr>
          <w:rFonts w:ascii="Times New Roman" w:hAnsi="Times New Roman" w:cs="Times New Roman"/>
          <w:sz w:val="24"/>
          <w:szCs w:val="24"/>
        </w:rPr>
        <w:t>.</w:t>
      </w:r>
    </w:p>
    <w:p w14:paraId="392DD4FE" w14:textId="4BFE9134"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Czwartym wskaźnikiem w </w:t>
      </w:r>
      <w:r w:rsidR="00017B36">
        <w:rPr>
          <w:rFonts w:ascii="Times New Roman" w:hAnsi="Times New Roman" w:cs="Times New Roman"/>
          <w:sz w:val="24"/>
          <w:szCs w:val="24"/>
        </w:rPr>
        <w:t>wymiarze</w:t>
      </w:r>
      <w:r w:rsidRPr="00B824AA">
        <w:rPr>
          <w:rFonts w:ascii="Times New Roman" w:hAnsi="Times New Roman" w:cs="Times New Roman"/>
          <w:sz w:val="24"/>
          <w:szCs w:val="24"/>
        </w:rPr>
        <w:t xml:space="preserve"> edukacja jest wskaźnik wczesnego opuszczania systemu edukacji. Mierzy on odsetek osób w wieku od 18 do 24 lat które nie osiągnęły wykształcenia na poziomie co najmniej zawodowym i nie</w:t>
      </w:r>
      <w:r w:rsidRPr="00B824AA">
        <w:rPr>
          <w:rFonts w:ascii="Times New Roman" w:hAnsi="Times New Roman" w:cs="Times New Roman"/>
        </w:rPr>
        <w:t xml:space="preserve"> </w:t>
      </w:r>
      <w:r w:rsidRPr="00B824AA">
        <w:rPr>
          <w:rFonts w:ascii="Times New Roman" w:hAnsi="Times New Roman" w:cs="Times New Roman"/>
          <w:sz w:val="24"/>
          <w:szCs w:val="24"/>
        </w:rPr>
        <w:t xml:space="preserve">uczestniczą w żadnym kształceniu lub szkoleniu w ciągu czterech tygodni poprzedzających badanie. Jest to również jeden z kluczowych wskaźników dotyczących systemu edukacji, które są monitorowane w Unii </w:t>
      </w:r>
      <w:r w:rsidRPr="00736A5E">
        <w:rPr>
          <w:rFonts w:ascii="Times New Roman" w:hAnsi="Times New Roman" w:cs="Times New Roman"/>
          <w:sz w:val="24"/>
          <w:szCs w:val="24"/>
        </w:rPr>
        <w:t>Europejskiej, m.in. w ramach monitorowania Europejskiego Filaru Praw Socjalnych</w:t>
      </w:r>
      <w:r w:rsidR="000E3169" w:rsidRPr="00736A5E">
        <w:rPr>
          <w:rFonts w:ascii="Times New Roman" w:hAnsi="Times New Roman" w:cs="Times New Roman"/>
          <w:sz w:val="24"/>
          <w:szCs w:val="24"/>
        </w:rPr>
        <w:t xml:space="preserve"> (Komisja</w:t>
      </w:r>
      <w:r w:rsidR="000E3169">
        <w:rPr>
          <w:rFonts w:ascii="Times New Roman" w:hAnsi="Times New Roman" w:cs="Times New Roman"/>
          <w:sz w:val="24"/>
          <w:szCs w:val="24"/>
        </w:rPr>
        <w:t xml:space="preserve"> Europejska, </w:t>
      </w:r>
      <w:r w:rsidR="00736A5E">
        <w:rPr>
          <w:rFonts w:ascii="Times New Roman" w:hAnsi="Times New Roman" w:cs="Times New Roman"/>
          <w:sz w:val="24"/>
          <w:szCs w:val="24"/>
        </w:rPr>
        <w:t>2017)</w:t>
      </w:r>
      <w:r w:rsidRPr="00B824AA">
        <w:rPr>
          <w:rFonts w:ascii="Times New Roman" w:hAnsi="Times New Roman" w:cs="Times New Roman"/>
          <w:sz w:val="24"/>
          <w:szCs w:val="24"/>
        </w:rPr>
        <w:t>. W</w:t>
      </w:r>
      <w:r w:rsidR="00E26BAA" w:rsidRPr="00B824AA">
        <w:rPr>
          <w:rFonts w:ascii="Times New Roman" w:hAnsi="Times New Roman" w:cs="Times New Roman"/>
          <w:sz w:val="24"/>
          <w:szCs w:val="24"/>
        </w:rPr>
        <w:t> </w:t>
      </w:r>
      <w:r w:rsidRPr="00B824AA">
        <w:rPr>
          <w:rFonts w:ascii="Times New Roman" w:hAnsi="Times New Roman" w:cs="Times New Roman"/>
          <w:sz w:val="24"/>
          <w:szCs w:val="24"/>
        </w:rPr>
        <w:t xml:space="preserve">związku ze specyfiką konstrukcji </w:t>
      </w:r>
      <w:r w:rsidR="00E26BAA" w:rsidRPr="00B824AA">
        <w:rPr>
          <w:rFonts w:ascii="Times New Roman" w:hAnsi="Times New Roman" w:cs="Times New Roman"/>
          <w:sz w:val="24"/>
          <w:szCs w:val="24"/>
        </w:rPr>
        <w:t>wskaźnika</w:t>
      </w:r>
      <w:r w:rsidRPr="00B824AA">
        <w:rPr>
          <w:rFonts w:ascii="Times New Roman" w:hAnsi="Times New Roman" w:cs="Times New Roman"/>
          <w:sz w:val="24"/>
          <w:szCs w:val="24"/>
        </w:rPr>
        <w:t xml:space="preserve">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sz w:val="24"/>
          <w:szCs w:val="24"/>
        </w:rPr>
        <w:t xml:space="preserve">, do porównania został wzięty odsetek osób, które nadal się kształcą lub uzyskały wykształcenie co najmniej zawodowe (odwrotność wskaźnika wcześnie opuszczających system edukacji). Wartości tego wskaźnika </w:t>
      </w:r>
      <w:r w:rsidR="00017B36">
        <w:rPr>
          <w:rFonts w:ascii="Times New Roman" w:hAnsi="Times New Roman" w:cs="Times New Roman"/>
          <w:sz w:val="24"/>
          <w:szCs w:val="24"/>
        </w:rPr>
        <w:t>w 202</w:t>
      </w:r>
      <w:r w:rsidR="00784BB1">
        <w:rPr>
          <w:rFonts w:ascii="Times New Roman" w:hAnsi="Times New Roman" w:cs="Times New Roman"/>
          <w:sz w:val="24"/>
          <w:szCs w:val="24"/>
        </w:rPr>
        <w:t>2</w:t>
      </w:r>
      <w:r w:rsidR="00017B36">
        <w:rPr>
          <w:rFonts w:ascii="Times New Roman" w:hAnsi="Times New Roman" w:cs="Times New Roman"/>
          <w:sz w:val="24"/>
          <w:szCs w:val="24"/>
        </w:rPr>
        <w:t xml:space="preserve"> r.</w:t>
      </w:r>
      <w:r w:rsidRPr="00B824AA">
        <w:rPr>
          <w:rFonts w:ascii="Times New Roman" w:hAnsi="Times New Roman" w:cs="Times New Roman"/>
          <w:sz w:val="24"/>
          <w:szCs w:val="24"/>
        </w:rPr>
        <w:t xml:space="preserve"> </w:t>
      </w:r>
      <w:r w:rsidR="00017B36">
        <w:rPr>
          <w:rFonts w:ascii="Times New Roman" w:hAnsi="Times New Roman" w:cs="Times New Roman"/>
          <w:sz w:val="24"/>
          <w:szCs w:val="24"/>
        </w:rPr>
        <w:t xml:space="preserve">były </w:t>
      </w:r>
      <w:r w:rsidRPr="00B824AA">
        <w:rPr>
          <w:rFonts w:ascii="Times New Roman" w:hAnsi="Times New Roman" w:cs="Times New Roman"/>
          <w:sz w:val="24"/>
          <w:szCs w:val="24"/>
        </w:rPr>
        <w:t xml:space="preserve">znacznie powyżej średniej </w:t>
      </w:r>
      <w:r w:rsidR="00017B36">
        <w:rPr>
          <w:rFonts w:ascii="Times New Roman" w:hAnsi="Times New Roman" w:cs="Times New Roman"/>
          <w:sz w:val="24"/>
          <w:szCs w:val="24"/>
        </w:rPr>
        <w:t>w porównaniu</w:t>
      </w:r>
      <w:r w:rsidRPr="00B824AA">
        <w:rPr>
          <w:rFonts w:ascii="Times New Roman" w:hAnsi="Times New Roman" w:cs="Times New Roman"/>
          <w:sz w:val="24"/>
          <w:szCs w:val="24"/>
        </w:rPr>
        <w:t xml:space="preserve"> krajów UE 2</w:t>
      </w:r>
      <w:r w:rsidR="00E26BAA" w:rsidRPr="00B824AA">
        <w:rPr>
          <w:rFonts w:ascii="Times New Roman" w:hAnsi="Times New Roman" w:cs="Times New Roman"/>
          <w:sz w:val="24"/>
          <w:szCs w:val="24"/>
        </w:rPr>
        <w:t>7</w:t>
      </w:r>
      <w:r w:rsidRPr="00B824AA">
        <w:rPr>
          <w:rFonts w:ascii="Times New Roman" w:hAnsi="Times New Roman" w:cs="Times New Roman"/>
          <w:sz w:val="24"/>
          <w:szCs w:val="24"/>
        </w:rPr>
        <w:t xml:space="preserve">, </w:t>
      </w:r>
      <w:r w:rsidR="00E26BAA" w:rsidRPr="00B824AA">
        <w:rPr>
          <w:rFonts w:ascii="Times New Roman" w:hAnsi="Times New Roman" w:cs="Times New Roman"/>
          <w:sz w:val="24"/>
          <w:szCs w:val="24"/>
        </w:rPr>
        <w:t>UE 14</w:t>
      </w:r>
      <w:r w:rsidR="00017B36">
        <w:rPr>
          <w:rFonts w:ascii="Times New Roman" w:hAnsi="Times New Roman" w:cs="Times New Roman"/>
          <w:sz w:val="24"/>
          <w:szCs w:val="24"/>
        </w:rPr>
        <w:t>,</w:t>
      </w:r>
      <w:r w:rsidR="00E26BAA" w:rsidRPr="00B824AA">
        <w:rPr>
          <w:rFonts w:ascii="Times New Roman" w:hAnsi="Times New Roman" w:cs="Times New Roman"/>
          <w:sz w:val="24"/>
          <w:szCs w:val="24"/>
        </w:rPr>
        <w:t xml:space="preserve"> jak i UE 13, oraz</w:t>
      </w:r>
      <w:r w:rsidRPr="00B824AA">
        <w:rPr>
          <w:rFonts w:ascii="Times New Roman" w:hAnsi="Times New Roman" w:cs="Times New Roman"/>
          <w:sz w:val="24"/>
          <w:szCs w:val="24"/>
        </w:rPr>
        <w:t xml:space="preserve"> odpowiednio wyno</w:t>
      </w:r>
      <w:r w:rsidR="00017B36">
        <w:rPr>
          <w:rFonts w:ascii="Times New Roman" w:hAnsi="Times New Roman" w:cs="Times New Roman"/>
          <w:sz w:val="24"/>
          <w:szCs w:val="24"/>
        </w:rPr>
        <w:t>siły</w:t>
      </w:r>
      <w:r w:rsidRPr="00B824AA">
        <w:rPr>
          <w:rFonts w:ascii="Times New Roman" w:hAnsi="Times New Roman" w:cs="Times New Roman"/>
          <w:sz w:val="24"/>
          <w:szCs w:val="24"/>
        </w:rPr>
        <w:t xml:space="preserve"> 1</w:t>
      </w:r>
      <w:r w:rsidR="00784BB1">
        <w:rPr>
          <w:rFonts w:ascii="Times New Roman" w:hAnsi="Times New Roman" w:cs="Times New Roman"/>
          <w:sz w:val="24"/>
          <w:szCs w:val="24"/>
        </w:rPr>
        <w:t>73</w:t>
      </w:r>
      <w:r w:rsidRPr="00B824AA">
        <w:rPr>
          <w:rFonts w:ascii="Times New Roman" w:hAnsi="Times New Roman" w:cs="Times New Roman"/>
          <w:sz w:val="24"/>
          <w:szCs w:val="24"/>
        </w:rPr>
        <w:t>, 1</w:t>
      </w:r>
      <w:r w:rsidR="009227B0">
        <w:rPr>
          <w:rFonts w:ascii="Times New Roman" w:hAnsi="Times New Roman" w:cs="Times New Roman"/>
          <w:sz w:val="24"/>
          <w:szCs w:val="24"/>
        </w:rPr>
        <w:t>89</w:t>
      </w:r>
      <w:r w:rsidRPr="00B824AA">
        <w:rPr>
          <w:rFonts w:ascii="Times New Roman" w:hAnsi="Times New Roman" w:cs="Times New Roman"/>
          <w:sz w:val="24"/>
          <w:szCs w:val="24"/>
        </w:rPr>
        <w:t xml:space="preserve"> i 1</w:t>
      </w:r>
      <w:r w:rsidR="009227B0">
        <w:rPr>
          <w:rFonts w:ascii="Times New Roman" w:hAnsi="Times New Roman" w:cs="Times New Roman"/>
          <w:sz w:val="24"/>
          <w:szCs w:val="24"/>
        </w:rPr>
        <w:t>32</w:t>
      </w:r>
      <w:r w:rsidRPr="00B824AA">
        <w:rPr>
          <w:rFonts w:ascii="Times New Roman" w:hAnsi="Times New Roman" w:cs="Times New Roman"/>
          <w:sz w:val="24"/>
          <w:szCs w:val="24"/>
        </w:rPr>
        <w:t xml:space="preserve"> procent</w:t>
      </w:r>
      <w:r w:rsidR="009227B0">
        <w:rPr>
          <w:rFonts w:ascii="Times New Roman" w:hAnsi="Times New Roman" w:cs="Times New Roman"/>
          <w:sz w:val="24"/>
          <w:szCs w:val="24"/>
        </w:rPr>
        <w:t xml:space="preserve">, co oznacza znaczącą poprawę w porównaniu do 2021 r., odpowiednio o </w:t>
      </w:r>
      <w:r w:rsidR="00326788">
        <w:rPr>
          <w:rFonts w:ascii="Times New Roman" w:hAnsi="Times New Roman" w:cs="Times New Roman"/>
          <w:sz w:val="24"/>
          <w:szCs w:val="24"/>
        </w:rPr>
        <w:t>33, 42 i 14 punktów procentowych</w:t>
      </w:r>
      <w:r w:rsidRPr="00B824AA">
        <w:rPr>
          <w:rFonts w:ascii="Times New Roman" w:hAnsi="Times New Roman" w:cs="Times New Roman"/>
          <w:sz w:val="24"/>
          <w:szCs w:val="24"/>
        </w:rPr>
        <w:t xml:space="preserve">. W </w:t>
      </w:r>
      <w:r w:rsidR="00017B36">
        <w:rPr>
          <w:rFonts w:ascii="Times New Roman" w:hAnsi="Times New Roman" w:cs="Times New Roman"/>
          <w:sz w:val="24"/>
          <w:szCs w:val="24"/>
        </w:rPr>
        <w:t>odniesieniu</w:t>
      </w:r>
      <w:r w:rsidRPr="00B824AA">
        <w:rPr>
          <w:rFonts w:ascii="Times New Roman" w:hAnsi="Times New Roman" w:cs="Times New Roman"/>
          <w:sz w:val="24"/>
          <w:szCs w:val="24"/>
        </w:rPr>
        <w:t xml:space="preserve"> do 2010 r. sytuacja w Polsce w porównaniu do </w:t>
      </w:r>
      <w:r w:rsidR="00326788">
        <w:rPr>
          <w:rFonts w:ascii="Times New Roman" w:hAnsi="Times New Roman" w:cs="Times New Roman"/>
          <w:sz w:val="24"/>
          <w:szCs w:val="24"/>
        </w:rPr>
        <w:t>krajów UE 27 i UE 14</w:t>
      </w:r>
      <w:r w:rsidR="00017B36">
        <w:rPr>
          <w:rFonts w:ascii="Times New Roman" w:hAnsi="Times New Roman" w:cs="Times New Roman"/>
          <w:sz w:val="24"/>
          <w:szCs w:val="24"/>
        </w:rPr>
        <w:t xml:space="preserve"> </w:t>
      </w:r>
      <w:r w:rsidRPr="00B824AA">
        <w:rPr>
          <w:rFonts w:ascii="Times New Roman" w:hAnsi="Times New Roman" w:cs="Times New Roman"/>
          <w:sz w:val="24"/>
          <w:szCs w:val="24"/>
        </w:rPr>
        <w:t>relatywnie się pogorszyła, tj. zmalał dystans tych krajów do Polski</w:t>
      </w:r>
      <w:r w:rsidR="00102CC5">
        <w:rPr>
          <w:rFonts w:ascii="Times New Roman" w:hAnsi="Times New Roman" w:cs="Times New Roman"/>
          <w:sz w:val="24"/>
          <w:szCs w:val="24"/>
        </w:rPr>
        <w:t>, co wynika ze wzrostu odsetka uczniów wcześnie opuszczających system edukacji</w:t>
      </w:r>
      <w:r w:rsidRPr="00B824AA">
        <w:rPr>
          <w:rFonts w:ascii="Times New Roman" w:hAnsi="Times New Roman" w:cs="Times New Roman"/>
          <w:sz w:val="24"/>
          <w:szCs w:val="24"/>
        </w:rPr>
        <w:t xml:space="preserve">. Jednak nadal </w:t>
      </w:r>
      <w:r w:rsidR="00102CC5">
        <w:rPr>
          <w:rFonts w:ascii="Times New Roman" w:hAnsi="Times New Roman" w:cs="Times New Roman"/>
          <w:sz w:val="24"/>
          <w:szCs w:val="24"/>
        </w:rPr>
        <w:t>sytuacja w Polsce należy do jednej z najbardziej korzystnych w Europie</w:t>
      </w:r>
      <w:r w:rsidRPr="00B824AA">
        <w:rPr>
          <w:rFonts w:ascii="Times New Roman" w:hAnsi="Times New Roman" w:cs="Times New Roman"/>
          <w:sz w:val="24"/>
          <w:szCs w:val="24"/>
        </w:rPr>
        <w:t xml:space="preserve">. </w:t>
      </w:r>
    </w:p>
    <w:p w14:paraId="2E50E20D" w14:textId="0C0F53E9"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lastRenderedPageBreak/>
        <w:t xml:space="preserve">Kolejne dwa wskaźniki cząstkowe w </w:t>
      </w:r>
      <w:r w:rsidR="00102CC5">
        <w:rPr>
          <w:rFonts w:ascii="Times New Roman" w:hAnsi="Times New Roman" w:cs="Times New Roman"/>
          <w:sz w:val="24"/>
          <w:szCs w:val="24"/>
        </w:rPr>
        <w:t>wymiarze</w:t>
      </w:r>
      <w:r w:rsidRPr="00B824AA">
        <w:rPr>
          <w:rFonts w:ascii="Times New Roman" w:hAnsi="Times New Roman" w:cs="Times New Roman"/>
          <w:sz w:val="24"/>
          <w:szCs w:val="24"/>
        </w:rPr>
        <w:t xml:space="preserve"> edukacja związane są z sektorem badań i</w:t>
      </w:r>
      <w:r w:rsidR="00E26BAA" w:rsidRPr="00B824AA">
        <w:rPr>
          <w:rFonts w:ascii="Times New Roman" w:hAnsi="Times New Roman" w:cs="Times New Roman"/>
          <w:sz w:val="24"/>
          <w:szCs w:val="24"/>
        </w:rPr>
        <w:t> </w:t>
      </w:r>
      <w:r w:rsidRPr="00B824AA">
        <w:rPr>
          <w:rFonts w:ascii="Times New Roman" w:hAnsi="Times New Roman" w:cs="Times New Roman"/>
          <w:sz w:val="24"/>
          <w:szCs w:val="24"/>
        </w:rPr>
        <w:t xml:space="preserve">rozwoju. Piąty wskaźnik to jest udział zatrudnionych zajmujących się badaniami i rozwojem wśród osób w wieku 20-64 lata. Wskaźnik ten wskazuje, że udział zatrudnionych w sektorze B+R w Polsce jest relatywnie niższy niż w krajach </w:t>
      </w:r>
      <w:r w:rsidR="00E26BAA" w:rsidRPr="00B824AA">
        <w:rPr>
          <w:rFonts w:ascii="Times New Roman" w:hAnsi="Times New Roman" w:cs="Times New Roman"/>
          <w:sz w:val="24"/>
          <w:szCs w:val="24"/>
        </w:rPr>
        <w:t xml:space="preserve">UE 14 </w:t>
      </w:r>
      <w:r w:rsidRPr="00B824AA">
        <w:rPr>
          <w:rFonts w:ascii="Times New Roman" w:hAnsi="Times New Roman" w:cs="Times New Roman"/>
          <w:sz w:val="24"/>
          <w:szCs w:val="24"/>
        </w:rPr>
        <w:t>i w 202</w:t>
      </w:r>
      <w:r w:rsidR="004F788F">
        <w:rPr>
          <w:rFonts w:ascii="Times New Roman" w:hAnsi="Times New Roman" w:cs="Times New Roman"/>
          <w:sz w:val="24"/>
          <w:szCs w:val="24"/>
        </w:rPr>
        <w:t>2</w:t>
      </w:r>
      <w:r w:rsidRPr="00B824AA">
        <w:rPr>
          <w:rFonts w:ascii="Times New Roman" w:hAnsi="Times New Roman" w:cs="Times New Roman"/>
          <w:sz w:val="24"/>
          <w:szCs w:val="24"/>
        </w:rPr>
        <w:t xml:space="preserve"> r. wynosił </w:t>
      </w:r>
      <w:r w:rsidR="004F788F">
        <w:rPr>
          <w:rFonts w:ascii="Times New Roman" w:hAnsi="Times New Roman" w:cs="Times New Roman"/>
          <w:sz w:val="24"/>
          <w:szCs w:val="24"/>
        </w:rPr>
        <w:t>72</w:t>
      </w:r>
      <w:r w:rsidRPr="00B824AA">
        <w:rPr>
          <w:rFonts w:ascii="Times New Roman" w:hAnsi="Times New Roman" w:cs="Times New Roman"/>
          <w:sz w:val="24"/>
          <w:szCs w:val="24"/>
        </w:rPr>
        <w:t xml:space="preserve"> procent. W</w:t>
      </w:r>
      <w:r w:rsidR="00167CB0">
        <w:rPr>
          <w:rFonts w:ascii="Times New Roman" w:hAnsi="Times New Roman" w:cs="Times New Roman"/>
          <w:sz w:val="24"/>
          <w:szCs w:val="24"/>
        </w:rPr>
        <w:t> </w:t>
      </w:r>
      <w:r w:rsidRPr="00B824AA">
        <w:rPr>
          <w:rFonts w:ascii="Times New Roman" w:hAnsi="Times New Roman" w:cs="Times New Roman"/>
          <w:sz w:val="24"/>
          <w:szCs w:val="24"/>
        </w:rPr>
        <w:t xml:space="preserve">porównaniu do 2010 r. </w:t>
      </w:r>
      <w:r w:rsidR="004F788F">
        <w:rPr>
          <w:rFonts w:ascii="Times New Roman" w:hAnsi="Times New Roman" w:cs="Times New Roman"/>
          <w:sz w:val="24"/>
          <w:szCs w:val="24"/>
        </w:rPr>
        <w:t>obserwujemy</w:t>
      </w:r>
      <w:r w:rsidRPr="00B824AA">
        <w:rPr>
          <w:rFonts w:ascii="Times New Roman" w:hAnsi="Times New Roman" w:cs="Times New Roman"/>
          <w:sz w:val="24"/>
          <w:szCs w:val="24"/>
        </w:rPr>
        <w:t xml:space="preserve"> znacząc</w:t>
      </w:r>
      <w:r w:rsidR="004F788F">
        <w:rPr>
          <w:rFonts w:ascii="Times New Roman" w:hAnsi="Times New Roman" w:cs="Times New Roman"/>
          <w:sz w:val="24"/>
          <w:szCs w:val="24"/>
        </w:rPr>
        <w:t>ą</w:t>
      </w:r>
      <w:r w:rsidRPr="00B824AA">
        <w:rPr>
          <w:rFonts w:ascii="Times New Roman" w:hAnsi="Times New Roman" w:cs="Times New Roman"/>
          <w:sz w:val="24"/>
          <w:szCs w:val="24"/>
        </w:rPr>
        <w:t xml:space="preserve"> popraw</w:t>
      </w:r>
      <w:r w:rsidR="004F788F">
        <w:rPr>
          <w:rFonts w:ascii="Times New Roman" w:hAnsi="Times New Roman" w:cs="Times New Roman"/>
          <w:sz w:val="24"/>
          <w:szCs w:val="24"/>
        </w:rPr>
        <w:t>ę,</w:t>
      </w:r>
      <w:r w:rsidRPr="00B824AA">
        <w:rPr>
          <w:rFonts w:ascii="Times New Roman" w:hAnsi="Times New Roman" w:cs="Times New Roman"/>
          <w:sz w:val="24"/>
          <w:szCs w:val="24"/>
        </w:rPr>
        <w:t xml:space="preserve"> o </w:t>
      </w:r>
      <w:r w:rsidR="007D4FFD">
        <w:rPr>
          <w:rFonts w:ascii="Times New Roman" w:hAnsi="Times New Roman" w:cs="Times New Roman"/>
          <w:sz w:val="24"/>
          <w:szCs w:val="24"/>
        </w:rPr>
        <w:t>31</w:t>
      </w:r>
      <w:r w:rsidRPr="00B824AA">
        <w:rPr>
          <w:rFonts w:ascii="Times New Roman" w:hAnsi="Times New Roman" w:cs="Times New Roman"/>
          <w:sz w:val="24"/>
          <w:szCs w:val="24"/>
        </w:rPr>
        <w:t xml:space="preserve"> punktów procentowych</w:t>
      </w:r>
      <w:r w:rsidR="00167CB0">
        <w:rPr>
          <w:rFonts w:ascii="Times New Roman" w:hAnsi="Times New Roman" w:cs="Times New Roman"/>
          <w:sz w:val="24"/>
          <w:szCs w:val="24"/>
        </w:rPr>
        <w:t xml:space="preserve">, </w:t>
      </w:r>
      <w:r w:rsidR="007D4FFD">
        <w:rPr>
          <w:rFonts w:ascii="Times New Roman" w:hAnsi="Times New Roman" w:cs="Times New Roman"/>
          <w:sz w:val="24"/>
          <w:szCs w:val="24"/>
        </w:rPr>
        <w:t>a</w:t>
      </w:r>
      <w:r w:rsidR="00167CB0">
        <w:rPr>
          <w:rFonts w:ascii="Times New Roman" w:hAnsi="Times New Roman" w:cs="Times New Roman"/>
          <w:sz w:val="24"/>
          <w:szCs w:val="24"/>
        </w:rPr>
        <w:t xml:space="preserve"> </w:t>
      </w:r>
      <w:r w:rsidR="007D4FFD">
        <w:rPr>
          <w:rFonts w:ascii="Times New Roman" w:hAnsi="Times New Roman" w:cs="Times New Roman"/>
          <w:sz w:val="24"/>
          <w:szCs w:val="24"/>
        </w:rPr>
        <w:t>w ostatnim roku wskaźnik ten wzrósł o 5 punktów procentowych</w:t>
      </w:r>
      <w:r w:rsidR="00167CB0">
        <w:rPr>
          <w:rFonts w:ascii="Times New Roman" w:hAnsi="Times New Roman" w:cs="Times New Roman"/>
          <w:sz w:val="24"/>
          <w:szCs w:val="24"/>
        </w:rPr>
        <w:t>.</w:t>
      </w:r>
      <w:r w:rsidRPr="00B824AA">
        <w:rPr>
          <w:rFonts w:ascii="Times New Roman" w:hAnsi="Times New Roman" w:cs="Times New Roman"/>
          <w:sz w:val="24"/>
          <w:szCs w:val="24"/>
        </w:rPr>
        <w:t xml:space="preserve">. Zatrudnienie w tym sektorze w Polsce jest relatywnie większe niż w krajach </w:t>
      </w:r>
      <w:r w:rsidR="00E26BAA" w:rsidRPr="00B824AA">
        <w:rPr>
          <w:rFonts w:ascii="Times New Roman" w:hAnsi="Times New Roman" w:cs="Times New Roman"/>
          <w:sz w:val="24"/>
          <w:szCs w:val="24"/>
        </w:rPr>
        <w:t>UE 13,</w:t>
      </w:r>
      <w:r w:rsidRPr="00B824AA">
        <w:rPr>
          <w:rFonts w:ascii="Times New Roman" w:hAnsi="Times New Roman" w:cs="Times New Roman"/>
          <w:sz w:val="24"/>
          <w:szCs w:val="24"/>
        </w:rPr>
        <w:t xml:space="preserve"> w efekcie ten wskaźnik cząstkowy w 202</w:t>
      </w:r>
      <w:r w:rsidR="00235BA9">
        <w:rPr>
          <w:rFonts w:ascii="Times New Roman" w:hAnsi="Times New Roman" w:cs="Times New Roman"/>
          <w:sz w:val="24"/>
          <w:szCs w:val="24"/>
        </w:rPr>
        <w:t>2</w:t>
      </w:r>
      <w:r w:rsidRPr="00B824AA">
        <w:rPr>
          <w:rFonts w:ascii="Times New Roman" w:hAnsi="Times New Roman" w:cs="Times New Roman"/>
          <w:sz w:val="24"/>
          <w:szCs w:val="24"/>
        </w:rPr>
        <w:t xml:space="preserve"> r. dla tej grupy krajów wyniósł </w:t>
      </w:r>
      <w:r w:rsidR="00235BA9">
        <w:rPr>
          <w:rFonts w:ascii="Times New Roman" w:hAnsi="Times New Roman" w:cs="Times New Roman"/>
          <w:sz w:val="24"/>
          <w:szCs w:val="24"/>
        </w:rPr>
        <w:t xml:space="preserve">104 procent (spadek o 6 punktów procentowych </w:t>
      </w:r>
      <w:r w:rsidR="00DB2157">
        <w:rPr>
          <w:rFonts w:ascii="Times New Roman" w:hAnsi="Times New Roman" w:cs="Times New Roman"/>
          <w:sz w:val="24"/>
          <w:szCs w:val="24"/>
        </w:rPr>
        <w:t>w ciągu roku)</w:t>
      </w:r>
      <w:r w:rsidRPr="00B824AA">
        <w:rPr>
          <w:rFonts w:ascii="Times New Roman" w:hAnsi="Times New Roman" w:cs="Times New Roman"/>
          <w:sz w:val="24"/>
          <w:szCs w:val="24"/>
        </w:rPr>
        <w:t xml:space="preserve">. </w:t>
      </w:r>
      <w:r w:rsidR="00167CB0">
        <w:rPr>
          <w:rFonts w:ascii="Times New Roman" w:hAnsi="Times New Roman" w:cs="Times New Roman"/>
          <w:sz w:val="24"/>
          <w:szCs w:val="24"/>
        </w:rPr>
        <w:t>Dla grupy krajów</w:t>
      </w:r>
      <w:r w:rsidRPr="00B824AA">
        <w:rPr>
          <w:rFonts w:ascii="Times New Roman" w:hAnsi="Times New Roman" w:cs="Times New Roman"/>
          <w:sz w:val="24"/>
          <w:szCs w:val="24"/>
        </w:rPr>
        <w:t xml:space="preserve"> UE 2</w:t>
      </w:r>
      <w:r w:rsidR="00E26BAA" w:rsidRPr="00B824AA">
        <w:rPr>
          <w:rFonts w:ascii="Times New Roman" w:hAnsi="Times New Roman" w:cs="Times New Roman"/>
          <w:sz w:val="24"/>
          <w:szCs w:val="24"/>
        </w:rPr>
        <w:t>7</w:t>
      </w:r>
      <w:r w:rsidRPr="00B824AA">
        <w:rPr>
          <w:rFonts w:ascii="Times New Roman" w:hAnsi="Times New Roman" w:cs="Times New Roman"/>
          <w:sz w:val="24"/>
          <w:szCs w:val="24"/>
        </w:rPr>
        <w:t xml:space="preserve"> Polska </w:t>
      </w:r>
      <w:r w:rsidR="00DB2157">
        <w:rPr>
          <w:rFonts w:ascii="Times New Roman" w:hAnsi="Times New Roman" w:cs="Times New Roman"/>
          <w:sz w:val="24"/>
          <w:szCs w:val="24"/>
        </w:rPr>
        <w:t xml:space="preserve">w 2022 r. </w:t>
      </w:r>
      <w:r w:rsidRPr="00B824AA">
        <w:rPr>
          <w:rFonts w:ascii="Times New Roman" w:hAnsi="Times New Roman" w:cs="Times New Roman"/>
          <w:sz w:val="24"/>
          <w:szCs w:val="24"/>
        </w:rPr>
        <w:t>nadal odnoto</w:t>
      </w:r>
      <w:r w:rsidR="00DB2157">
        <w:rPr>
          <w:rFonts w:ascii="Times New Roman" w:hAnsi="Times New Roman" w:cs="Times New Roman"/>
          <w:sz w:val="24"/>
          <w:szCs w:val="24"/>
        </w:rPr>
        <w:t>wywała</w:t>
      </w:r>
      <w:r w:rsidRPr="00B824AA">
        <w:rPr>
          <w:rFonts w:ascii="Times New Roman" w:hAnsi="Times New Roman" w:cs="Times New Roman"/>
          <w:sz w:val="24"/>
          <w:szCs w:val="24"/>
        </w:rPr>
        <w:t xml:space="preserve"> dystans jeżeli chodzi o zatrudnienie w sektorze B+R, wynoszący 2</w:t>
      </w:r>
      <w:r w:rsidR="00DB2157">
        <w:rPr>
          <w:rFonts w:ascii="Times New Roman" w:hAnsi="Times New Roman" w:cs="Times New Roman"/>
          <w:sz w:val="24"/>
          <w:szCs w:val="24"/>
        </w:rPr>
        <w:t>0</w:t>
      </w:r>
      <w:r w:rsidR="00E26BAA" w:rsidRPr="00B824AA">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w:t>
      </w:r>
    </w:p>
    <w:p w14:paraId="6FFCD507" w14:textId="12CE8C1B" w:rsidR="00CA4175" w:rsidRPr="00B824AA" w:rsidRDefault="00CA4175" w:rsidP="00CA4175">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Ostatni, szósty wskaźnik w </w:t>
      </w:r>
      <w:r w:rsidR="0026598C">
        <w:rPr>
          <w:rFonts w:ascii="Times New Roman" w:hAnsi="Times New Roman" w:cs="Times New Roman"/>
          <w:sz w:val="24"/>
          <w:szCs w:val="24"/>
        </w:rPr>
        <w:t>wymiarze</w:t>
      </w:r>
      <w:r w:rsidRPr="00B824AA">
        <w:rPr>
          <w:rFonts w:ascii="Times New Roman" w:hAnsi="Times New Roman" w:cs="Times New Roman"/>
          <w:sz w:val="24"/>
          <w:szCs w:val="24"/>
        </w:rPr>
        <w:t xml:space="preserve"> edukacja to liczba wniosków na osobę o ochronę patentową wynalazku złożonych w Europejskim Urzędzie Patentowym (EPO), obejmujący wszystkie wnioski (zarówno te rozpatrzone pozytywnie, jak i negatywnie). Wskaźnik ten dla Polski jest bardzo niski i w 202</w:t>
      </w:r>
      <w:r w:rsidR="006A6709">
        <w:rPr>
          <w:rFonts w:ascii="Times New Roman" w:hAnsi="Times New Roman" w:cs="Times New Roman"/>
          <w:sz w:val="24"/>
          <w:szCs w:val="24"/>
        </w:rPr>
        <w:t>2</w:t>
      </w:r>
      <w:r w:rsidRPr="00B824AA">
        <w:rPr>
          <w:rFonts w:ascii="Times New Roman" w:hAnsi="Times New Roman" w:cs="Times New Roman"/>
          <w:sz w:val="24"/>
          <w:szCs w:val="24"/>
        </w:rPr>
        <w:t xml:space="preserve"> r. wyniósł </w:t>
      </w:r>
      <w:r w:rsidR="006A6709">
        <w:rPr>
          <w:rFonts w:ascii="Times New Roman" w:hAnsi="Times New Roman" w:cs="Times New Roman"/>
          <w:sz w:val="24"/>
          <w:szCs w:val="24"/>
        </w:rPr>
        <w:t>11</w:t>
      </w:r>
      <w:r w:rsidR="00E26BAA" w:rsidRPr="00B824AA">
        <w:rPr>
          <w:rFonts w:ascii="Times New Roman" w:hAnsi="Times New Roman" w:cs="Times New Roman"/>
          <w:sz w:val="24"/>
          <w:szCs w:val="24"/>
        </w:rPr>
        <w:t xml:space="preserve"> procent</w:t>
      </w:r>
      <w:r w:rsidRPr="00B824AA">
        <w:rPr>
          <w:rFonts w:ascii="Times New Roman" w:hAnsi="Times New Roman" w:cs="Times New Roman"/>
          <w:sz w:val="24"/>
          <w:szCs w:val="24"/>
        </w:rPr>
        <w:t xml:space="preserve">. Wynika to przede wszystkim z małej liczby wniosków patentowych w przeliczeniu na mieszkańca w odniesieniu do krajów </w:t>
      </w:r>
      <w:r w:rsidR="00E26BAA" w:rsidRPr="00B824AA">
        <w:rPr>
          <w:rFonts w:ascii="Times New Roman" w:hAnsi="Times New Roman" w:cs="Times New Roman"/>
          <w:sz w:val="24"/>
          <w:szCs w:val="24"/>
        </w:rPr>
        <w:t xml:space="preserve">UE 14 </w:t>
      </w:r>
      <w:r w:rsidRPr="00B824AA">
        <w:rPr>
          <w:rFonts w:ascii="Times New Roman" w:hAnsi="Times New Roman" w:cs="Times New Roman"/>
          <w:sz w:val="24"/>
          <w:szCs w:val="24"/>
        </w:rPr>
        <w:t>(</w:t>
      </w:r>
      <w:r w:rsidR="006A6709">
        <w:rPr>
          <w:rFonts w:ascii="Times New Roman" w:hAnsi="Times New Roman" w:cs="Times New Roman"/>
          <w:sz w:val="24"/>
          <w:szCs w:val="24"/>
        </w:rPr>
        <w:t>8</w:t>
      </w:r>
      <w:r w:rsidRPr="00B824AA">
        <w:rPr>
          <w:rFonts w:ascii="Times New Roman" w:hAnsi="Times New Roman" w:cs="Times New Roman"/>
          <w:sz w:val="24"/>
          <w:szCs w:val="24"/>
        </w:rPr>
        <w:t xml:space="preserve"> procent w 20</w:t>
      </w:r>
      <w:r w:rsidR="00747F35">
        <w:rPr>
          <w:rFonts w:ascii="Times New Roman" w:hAnsi="Times New Roman" w:cs="Times New Roman"/>
          <w:sz w:val="24"/>
          <w:szCs w:val="24"/>
        </w:rPr>
        <w:t>2</w:t>
      </w:r>
      <w:r w:rsidR="006A6709">
        <w:rPr>
          <w:rFonts w:ascii="Times New Roman" w:hAnsi="Times New Roman" w:cs="Times New Roman"/>
          <w:sz w:val="24"/>
          <w:szCs w:val="24"/>
        </w:rPr>
        <w:t>2</w:t>
      </w:r>
      <w:r w:rsidRPr="00B824AA">
        <w:rPr>
          <w:rFonts w:ascii="Times New Roman" w:hAnsi="Times New Roman" w:cs="Times New Roman"/>
          <w:sz w:val="24"/>
          <w:szCs w:val="24"/>
        </w:rPr>
        <w:t xml:space="preserve"> r.), podczas gdy relacja ta jest wyższa w przypadku krajów </w:t>
      </w:r>
      <w:r w:rsidR="00E26BAA" w:rsidRPr="00B824AA">
        <w:rPr>
          <w:rFonts w:ascii="Times New Roman" w:hAnsi="Times New Roman" w:cs="Times New Roman"/>
          <w:sz w:val="24"/>
          <w:szCs w:val="24"/>
        </w:rPr>
        <w:t>UE 1</w:t>
      </w:r>
      <w:r w:rsidR="0081769E" w:rsidRPr="00B824AA">
        <w:rPr>
          <w:rFonts w:ascii="Times New Roman" w:hAnsi="Times New Roman" w:cs="Times New Roman"/>
          <w:sz w:val="24"/>
          <w:szCs w:val="24"/>
        </w:rPr>
        <w:t>3</w:t>
      </w:r>
      <w:r w:rsidR="00E26BAA" w:rsidRPr="00B824AA">
        <w:rPr>
          <w:rFonts w:ascii="Times New Roman" w:hAnsi="Times New Roman" w:cs="Times New Roman"/>
          <w:sz w:val="24"/>
          <w:szCs w:val="24"/>
        </w:rPr>
        <w:t xml:space="preserve"> </w:t>
      </w:r>
      <w:r w:rsidRPr="00B824AA">
        <w:rPr>
          <w:rFonts w:ascii="Times New Roman" w:hAnsi="Times New Roman" w:cs="Times New Roman"/>
          <w:sz w:val="24"/>
          <w:szCs w:val="24"/>
        </w:rPr>
        <w:t>(</w:t>
      </w:r>
      <w:r w:rsidR="00747F35">
        <w:rPr>
          <w:rFonts w:ascii="Times New Roman" w:hAnsi="Times New Roman" w:cs="Times New Roman"/>
          <w:sz w:val="24"/>
          <w:szCs w:val="24"/>
        </w:rPr>
        <w:t>10</w:t>
      </w:r>
      <w:r w:rsidR="0040590D">
        <w:rPr>
          <w:rFonts w:ascii="Times New Roman" w:hAnsi="Times New Roman" w:cs="Times New Roman"/>
          <w:sz w:val="24"/>
          <w:szCs w:val="24"/>
        </w:rPr>
        <w:t>9</w:t>
      </w:r>
      <w:r w:rsidR="00747F35">
        <w:rPr>
          <w:rFonts w:ascii="Times New Roman" w:hAnsi="Times New Roman" w:cs="Times New Roman"/>
          <w:sz w:val="24"/>
          <w:szCs w:val="24"/>
        </w:rPr>
        <w:t xml:space="preserve"> </w:t>
      </w:r>
      <w:r w:rsidRPr="00B824AA">
        <w:rPr>
          <w:rFonts w:ascii="Times New Roman" w:hAnsi="Times New Roman" w:cs="Times New Roman"/>
          <w:sz w:val="24"/>
          <w:szCs w:val="24"/>
        </w:rPr>
        <w:t>pr</w:t>
      </w:r>
      <w:r w:rsidR="0081769E" w:rsidRPr="00B824AA">
        <w:rPr>
          <w:rFonts w:ascii="Times New Roman" w:hAnsi="Times New Roman" w:cs="Times New Roman"/>
          <w:sz w:val="24"/>
          <w:szCs w:val="24"/>
        </w:rPr>
        <w:t>o</w:t>
      </w:r>
      <w:r w:rsidRPr="00B824AA">
        <w:rPr>
          <w:rFonts w:ascii="Times New Roman" w:hAnsi="Times New Roman" w:cs="Times New Roman"/>
          <w:sz w:val="24"/>
          <w:szCs w:val="24"/>
        </w:rPr>
        <w:t>cent w 202</w:t>
      </w:r>
      <w:r w:rsidR="0040590D">
        <w:rPr>
          <w:rFonts w:ascii="Times New Roman" w:hAnsi="Times New Roman" w:cs="Times New Roman"/>
          <w:sz w:val="24"/>
          <w:szCs w:val="24"/>
        </w:rPr>
        <w:t>2</w:t>
      </w:r>
      <w:r w:rsidRPr="00B824AA">
        <w:rPr>
          <w:rFonts w:ascii="Times New Roman" w:hAnsi="Times New Roman" w:cs="Times New Roman"/>
          <w:sz w:val="24"/>
          <w:szCs w:val="24"/>
        </w:rPr>
        <w:t xml:space="preserve"> r.). Wskaźnik ten pokazuje wyraźnie znaczący dystans jaki dzieli Polskę i kraje </w:t>
      </w:r>
      <w:r w:rsidR="00747F35">
        <w:rPr>
          <w:rFonts w:ascii="Times New Roman" w:hAnsi="Times New Roman" w:cs="Times New Roman"/>
          <w:sz w:val="24"/>
          <w:szCs w:val="24"/>
        </w:rPr>
        <w:t>U</w:t>
      </w:r>
      <w:r w:rsidR="0081769E" w:rsidRPr="00B824AA">
        <w:rPr>
          <w:rFonts w:ascii="Times New Roman" w:hAnsi="Times New Roman" w:cs="Times New Roman"/>
          <w:sz w:val="24"/>
          <w:szCs w:val="24"/>
        </w:rPr>
        <w:t xml:space="preserve">E 13 do krajów UE 14 </w:t>
      </w:r>
      <w:r w:rsidRPr="00B824AA">
        <w:rPr>
          <w:rFonts w:ascii="Times New Roman" w:hAnsi="Times New Roman" w:cs="Times New Roman"/>
          <w:sz w:val="24"/>
          <w:szCs w:val="24"/>
        </w:rPr>
        <w:t xml:space="preserve">w zakresie aktywności patentowej. </w:t>
      </w:r>
    </w:p>
    <w:p w14:paraId="02B11986" w14:textId="1EEF014F" w:rsidR="00CA4175" w:rsidRPr="00B824AA" w:rsidRDefault="00A71013" w:rsidP="00A71013">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7</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Edukacja w latach 2010, 2015, 2020</w:t>
      </w:r>
      <w:r w:rsidR="0040590D">
        <w:rPr>
          <w:rFonts w:ascii="Times New Roman" w:hAnsi="Times New Roman" w:cs="Times New Roman"/>
          <w:sz w:val="22"/>
          <w:szCs w:val="22"/>
        </w:rPr>
        <w:t xml:space="preserve">, </w:t>
      </w:r>
      <w:r w:rsidRPr="00B824AA">
        <w:rPr>
          <w:rFonts w:ascii="Times New Roman" w:hAnsi="Times New Roman" w:cs="Times New Roman"/>
          <w:sz w:val="22"/>
          <w:szCs w:val="22"/>
        </w:rPr>
        <w:t>2021</w:t>
      </w:r>
      <w:r w:rsidR="0040590D">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CA4175" w:rsidRPr="00B824AA" w14:paraId="5C361736" w14:textId="77777777" w:rsidTr="00747F35">
        <w:trPr>
          <w:trHeight w:val="367"/>
          <w:tblHeader/>
        </w:trPr>
        <w:tc>
          <w:tcPr>
            <w:tcW w:w="2551" w:type="dxa"/>
            <w:vMerge w:val="restart"/>
            <w:vAlign w:val="center"/>
          </w:tcPr>
          <w:p w14:paraId="5F2CECF7" w14:textId="2608AFAE" w:rsidR="00CA4175" w:rsidRPr="00B824AA" w:rsidRDefault="00C9487A" w:rsidP="00CC3BD8">
            <w:pPr>
              <w:jc w:val="center"/>
              <w:rPr>
                <w:rFonts w:ascii="Times New Roman" w:hAnsi="Times New Roman" w:cs="Times New Roman"/>
                <w:b/>
                <w:bCs/>
              </w:rPr>
            </w:pPr>
            <w:r w:rsidRPr="00B824AA">
              <w:rPr>
                <w:rFonts w:ascii="Times New Roman" w:hAnsi="Times New Roman" w:cs="Times New Roman"/>
                <w:b/>
                <w:bCs/>
              </w:rPr>
              <w:t>Wymiar</w:t>
            </w:r>
            <w:r w:rsidR="00CA4175" w:rsidRPr="00B824AA">
              <w:rPr>
                <w:rFonts w:ascii="Times New Roman" w:hAnsi="Times New Roman" w:cs="Times New Roman"/>
                <w:b/>
                <w:bCs/>
              </w:rPr>
              <w:t xml:space="preserve"> i wskaźniki cząstkowe oraz lata</w:t>
            </w:r>
          </w:p>
        </w:tc>
        <w:tc>
          <w:tcPr>
            <w:tcW w:w="6462" w:type="dxa"/>
            <w:gridSpan w:val="3"/>
            <w:vAlign w:val="center"/>
          </w:tcPr>
          <w:p w14:paraId="598B9DEB" w14:textId="1532E9F0" w:rsidR="00CA4175" w:rsidRPr="00B824AA" w:rsidRDefault="00CA4175" w:rsidP="00CC3BD8">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rPr>
              <w:t>catch-up</w:t>
            </w:r>
            <w:proofErr w:type="spellEnd"/>
            <w:r w:rsidRPr="00B824AA">
              <w:rPr>
                <w:rFonts w:ascii="Times New Roman" w:hAnsi="Times New Roman" w:cs="Times New Roman"/>
                <w:b/>
                <w:bCs/>
              </w:rPr>
              <w:t xml:space="preserve"> w </w:t>
            </w:r>
            <w:r w:rsidR="00747F35">
              <w:rPr>
                <w:rFonts w:ascii="Times New Roman" w:hAnsi="Times New Roman" w:cs="Times New Roman"/>
                <w:b/>
                <w:bCs/>
              </w:rPr>
              <w:t>%</w:t>
            </w:r>
          </w:p>
        </w:tc>
      </w:tr>
      <w:tr w:rsidR="00C9487A" w:rsidRPr="00B824AA" w14:paraId="2D6B6CBE" w14:textId="77777777" w:rsidTr="00747F35">
        <w:trPr>
          <w:trHeight w:val="399"/>
          <w:tblHeader/>
        </w:trPr>
        <w:tc>
          <w:tcPr>
            <w:tcW w:w="2551" w:type="dxa"/>
            <w:vMerge/>
            <w:vAlign w:val="center"/>
          </w:tcPr>
          <w:p w14:paraId="22256077" w14:textId="77777777" w:rsidR="00C9487A" w:rsidRPr="00B824AA" w:rsidRDefault="00C9487A" w:rsidP="00C9487A">
            <w:pPr>
              <w:jc w:val="center"/>
              <w:rPr>
                <w:rFonts w:ascii="Times New Roman" w:hAnsi="Times New Roman" w:cs="Times New Roman"/>
                <w:b/>
                <w:bCs/>
              </w:rPr>
            </w:pPr>
          </w:p>
        </w:tc>
        <w:tc>
          <w:tcPr>
            <w:tcW w:w="2154" w:type="dxa"/>
            <w:vAlign w:val="center"/>
          </w:tcPr>
          <w:p w14:paraId="0EF273A6" w14:textId="7786F000"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vAlign w:val="center"/>
          </w:tcPr>
          <w:p w14:paraId="064B668C" w14:textId="61A5D29A"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14</w:t>
            </w:r>
          </w:p>
        </w:tc>
        <w:tc>
          <w:tcPr>
            <w:tcW w:w="2154" w:type="dxa"/>
            <w:vAlign w:val="center"/>
          </w:tcPr>
          <w:p w14:paraId="15A9C807" w14:textId="1661D4FD"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13</w:t>
            </w:r>
          </w:p>
        </w:tc>
      </w:tr>
      <w:tr w:rsidR="00CA4175" w:rsidRPr="00B824AA" w14:paraId="13BF64BE" w14:textId="77777777" w:rsidTr="00B41C82">
        <w:trPr>
          <w:trHeight w:val="322"/>
        </w:trPr>
        <w:tc>
          <w:tcPr>
            <w:tcW w:w="2551" w:type="dxa"/>
            <w:tcBorders>
              <w:bottom w:val="nil"/>
            </w:tcBorders>
            <w:vAlign w:val="center"/>
          </w:tcPr>
          <w:p w14:paraId="0D377158" w14:textId="77777777" w:rsidR="00CA4175" w:rsidRPr="00B824AA" w:rsidRDefault="00CA4175" w:rsidP="00CC3BD8">
            <w:pPr>
              <w:ind w:left="316"/>
              <w:rPr>
                <w:rFonts w:ascii="Times New Roman" w:hAnsi="Times New Roman" w:cs="Times New Roman"/>
                <w:b/>
                <w:bCs/>
              </w:rPr>
            </w:pPr>
            <w:r w:rsidRPr="00B824AA">
              <w:rPr>
                <w:rFonts w:ascii="Times New Roman" w:hAnsi="Times New Roman" w:cs="Times New Roman"/>
                <w:b/>
                <w:bCs/>
                <w:color w:val="000000"/>
              </w:rPr>
              <w:t>Edukacja</w:t>
            </w:r>
          </w:p>
        </w:tc>
        <w:tc>
          <w:tcPr>
            <w:tcW w:w="2154" w:type="dxa"/>
            <w:tcBorders>
              <w:bottom w:val="nil"/>
            </w:tcBorders>
          </w:tcPr>
          <w:p w14:paraId="2303F8EA" w14:textId="77777777" w:rsidR="00CA4175" w:rsidRPr="00B824AA" w:rsidRDefault="00CA4175" w:rsidP="00CC3BD8">
            <w:pPr>
              <w:tabs>
                <w:tab w:val="decimal" w:pos="1135"/>
              </w:tabs>
              <w:rPr>
                <w:rFonts w:ascii="Times New Roman" w:hAnsi="Times New Roman" w:cs="Times New Roman"/>
                <w:b/>
                <w:bCs/>
              </w:rPr>
            </w:pPr>
          </w:p>
        </w:tc>
        <w:tc>
          <w:tcPr>
            <w:tcW w:w="2154" w:type="dxa"/>
            <w:tcBorders>
              <w:bottom w:val="nil"/>
            </w:tcBorders>
          </w:tcPr>
          <w:p w14:paraId="6A70E878" w14:textId="77777777" w:rsidR="00CA4175" w:rsidRPr="00B824AA" w:rsidRDefault="00CA4175" w:rsidP="00CC3BD8">
            <w:pPr>
              <w:tabs>
                <w:tab w:val="decimal" w:pos="1107"/>
              </w:tabs>
              <w:rPr>
                <w:rFonts w:ascii="Times New Roman" w:hAnsi="Times New Roman" w:cs="Times New Roman"/>
                <w:b/>
                <w:bCs/>
              </w:rPr>
            </w:pPr>
          </w:p>
        </w:tc>
        <w:tc>
          <w:tcPr>
            <w:tcW w:w="2154" w:type="dxa"/>
            <w:tcBorders>
              <w:bottom w:val="nil"/>
            </w:tcBorders>
          </w:tcPr>
          <w:p w14:paraId="08933E08" w14:textId="77777777" w:rsidR="00CA4175" w:rsidRPr="00B824AA" w:rsidRDefault="00CA4175" w:rsidP="00CC3BD8">
            <w:pPr>
              <w:tabs>
                <w:tab w:val="decimal" w:pos="1221"/>
              </w:tabs>
              <w:rPr>
                <w:rFonts w:ascii="Times New Roman" w:hAnsi="Times New Roman" w:cs="Times New Roman"/>
                <w:b/>
                <w:bCs/>
              </w:rPr>
            </w:pPr>
          </w:p>
        </w:tc>
      </w:tr>
      <w:tr w:rsidR="00E53D8F" w:rsidRPr="00B824AA" w14:paraId="6D08A6BC" w14:textId="77777777" w:rsidTr="00866620">
        <w:tc>
          <w:tcPr>
            <w:tcW w:w="2551" w:type="dxa"/>
            <w:tcBorders>
              <w:top w:val="nil"/>
              <w:bottom w:val="nil"/>
            </w:tcBorders>
            <w:vAlign w:val="center"/>
          </w:tcPr>
          <w:p w14:paraId="30888A77" w14:textId="77777777" w:rsidR="00E53D8F" w:rsidRPr="00877854" w:rsidRDefault="00E53D8F" w:rsidP="00284396">
            <w:pPr>
              <w:ind w:left="316"/>
              <w:rPr>
                <w:rFonts w:ascii="Times New Roman" w:hAnsi="Times New Roman" w:cs="Times New Roman"/>
                <w:b/>
                <w:bCs/>
              </w:rPr>
            </w:pPr>
            <w:r w:rsidRPr="00877854">
              <w:rPr>
                <w:rFonts w:ascii="Times New Roman" w:hAnsi="Times New Roman" w:cs="Times New Roman"/>
                <w:b/>
                <w:bCs/>
                <w:color w:val="000000"/>
              </w:rPr>
              <w:t>2010</w:t>
            </w:r>
          </w:p>
        </w:tc>
        <w:tc>
          <w:tcPr>
            <w:tcW w:w="2154" w:type="dxa"/>
            <w:tcBorders>
              <w:top w:val="nil"/>
              <w:bottom w:val="nil"/>
            </w:tcBorders>
          </w:tcPr>
          <w:p w14:paraId="0134CEFA" w14:textId="6A3E7873" w:rsidR="00E53D8F" w:rsidRPr="00FB0031" w:rsidRDefault="00E53D8F" w:rsidP="00284396">
            <w:pPr>
              <w:tabs>
                <w:tab w:val="decimal" w:pos="1135"/>
              </w:tabs>
              <w:rPr>
                <w:rFonts w:ascii="Times New Roman" w:hAnsi="Times New Roman" w:cs="Times New Roman"/>
                <w:b/>
                <w:bCs/>
              </w:rPr>
            </w:pPr>
            <w:r w:rsidRPr="00FB0031">
              <w:rPr>
                <w:rFonts w:ascii="Times New Roman" w:hAnsi="Times New Roman" w:cs="Times New Roman"/>
                <w:b/>
              </w:rPr>
              <w:t>52</w:t>
            </w:r>
          </w:p>
        </w:tc>
        <w:tc>
          <w:tcPr>
            <w:tcW w:w="2154" w:type="dxa"/>
            <w:tcBorders>
              <w:top w:val="nil"/>
              <w:bottom w:val="nil"/>
            </w:tcBorders>
          </w:tcPr>
          <w:p w14:paraId="61F4F4D5" w14:textId="799FC391" w:rsidR="00E53D8F" w:rsidRPr="00FB0031" w:rsidRDefault="00E53D8F" w:rsidP="00284396">
            <w:pPr>
              <w:tabs>
                <w:tab w:val="decimal" w:pos="1107"/>
              </w:tabs>
              <w:rPr>
                <w:rFonts w:ascii="Times New Roman" w:hAnsi="Times New Roman" w:cs="Times New Roman"/>
                <w:b/>
                <w:bCs/>
              </w:rPr>
            </w:pPr>
            <w:r w:rsidRPr="00FB0031">
              <w:rPr>
                <w:rFonts w:ascii="Times New Roman" w:hAnsi="Times New Roman" w:cs="Times New Roman"/>
                <w:b/>
              </w:rPr>
              <w:t>48</w:t>
            </w:r>
          </w:p>
        </w:tc>
        <w:tc>
          <w:tcPr>
            <w:tcW w:w="2154" w:type="dxa"/>
            <w:tcBorders>
              <w:top w:val="nil"/>
              <w:bottom w:val="nil"/>
            </w:tcBorders>
          </w:tcPr>
          <w:p w14:paraId="0D616913" w14:textId="011E922F" w:rsidR="00E53D8F" w:rsidRPr="00FB0031" w:rsidRDefault="00E53D8F" w:rsidP="00284396">
            <w:pPr>
              <w:tabs>
                <w:tab w:val="decimal" w:pos="1221"/>
              </w:tabs>
              <w:rPr>
                <w:rFonts w:ascii="Times New Roman" w:hAnsi="Times New Roman" w:cs="Times New Roman"/>
                <w:b/>
                <w:bCs/>
              </w:rPr>
            </w:pPr>
            <w:r w:rsidRPr="00FB0031">
              <w:rPr>
                <w:rFonts w:ascii="Times New Roman" w:hAnsi="Times New Roman" w:cs="Times New Roman"/>
                <w:b/>
              </w:rPr>
              <w:t>100</w:t>
            </w:r>
          </w:p>
        </w:tc>
      </w:tr>
      <w:tr w:rsidR="00E53D8F" w:rsidRPr="00B824AA" w14:paraId="272994DB" w14:textId="77777777" w:rsidTr="00866620">
        <w:tc>
          <w:tcPr>
            <w:tcW w:w="2551" w:type="dxa"/>
            <w:tcBorders>
              <w:top w:val="nil"/>
              <w:bottom w:val="nil"/>
            </w:tcBorders>
            <w:vAlign w:val="center"/>
          </w:tcPr>
          <w:p w14:paraId="7FF17A45" w14:textId="77777777" w:rsidR="00E53D8F" w:rsidRPr="00877854" w:rsidRDefault="00E53D8F" w:rsidP="00284396">
            <w:pPr>
              <w:ind w:left="316"/>
              <w:rPr>
                <w:rFonts w:ascii="Times New Roman" w:hAnsi="Times New Roman" w:cs="Times New Roman"/>
                <w:b/>
                <w:bCs/>
              </w:rPr>
            </w:pPr>
            <w:r w:rsidRPr="00877854">
              <w:rPr>
                <w:rFonts w:ascii="Times New Roman" w:hAnsi="Times New Roman" w:cs="Times New Roman"/>
                <w:b/>
                <w:bCs/>
                <w:color w:val="000000"/>
              </w:rPr>
              <w:t>2015</w:t>
            </w:r>
          </w:p>
        </w:tc>
        <w:tc>
          <w:tcPr>
            <w:tcW w:w="2154" w:type="dxa"/>
            <w:tcBorders>
              <w:top w:val="nil"/>
              <w:bottom w:val="nil"/>
            </w:tcBorders>
          </w:tcPr>
          <w:p w14:paraId="6DECB28F" w14:textId="0CDAB5F9" w:rsidR="00E53D8F" w:rsidRPr="00FB0031" w:rsidRDefault="00E53D8F" w:rsidP="00284396">
            <w:pPr>
              <w:tabs>
                <w:tab w:val="decimal" w:pos="1135"/>
              </w:tabs>
              <w:rPr>
                <w:rFonts w:ascii="Times New Roman" w:hAnsi="Times New Roman" w:cs="Times New Roman"/>
                <w:b/>
                <w:bCs/>
              </w:rPr>
            </w:pPr>
            <w:r w:rsidRPr="00FB0031">
              <w:rPr>
                <w:rFonts w:ascii="Times New Roman" w:hAnsi="Times New Roman" w:cs="Times New Roman"/>
                <w:b/>
              </w:rPr>
              <w:t>57</w:t>
            </w:r>
          </w:p>
        </w:tc>
        <w:tc>
          <w:tcPr>
            <w:tcW w:w="2154" w:type="dxa"/>
            <w:tcBorders>
              <w:top w:val="nil"/>
              <w:bottom w:val="nil"/>
            </w:tcBorders>
          </w:tcPr>
          <w:p w14:paraId="2C8AFDC7" w14:textId="3D83BAF8" w:rsidR="00E53D8F" w:rsidRPr="00FB0031" w:rsidRDefault="00E53D8F" w:rsidP="00284396">
            <w:pPr>
              <w:tabs>
                <w:tab w:val="decimal" w:pos="1107"/>
              </w:tabs>
              <w:rPr>
                <w:rFonts w:ascii="Times New Roman" w:hAnsi="Times New Roman" w:cs="Times New Roman"/>
                <w:b/>
                <w:bCs/>
              </w:rPr>
            </w:pPr>
            <w:r w:rsidRPr="00FB0031">
              <w:rPr>
                <w:rFonts w:ascii="Times New Roman" w:hAnsi="Times New Roman" w:cs="Times New Roman"/>
                <w:b/>
              </w:rPr>
              <w:t>53</w:t>
            </w:r>
          </w:p>
        </w:tc>
        <w:tc>
          <w:tcPr>
            <w:tcW w:w="2154" w:type="dxa"/>
            <w:tcBorders>
              <w:top w:val="nil"/>
              <w:bottom w:val="nil"/>
            </w:tcBorders>
          </w:tcPr>
          <w:p w14:paraId="6B368F6F" w14:textId="01A89334" w:rsidR="00E53D8F" w:rsidRPr="00FB0031" w:rsidRDefault="00E53D8F" w:rsidP="00284396">
            <w:pPr>
              <w:tabs>
                <w:tab w:val="decimal" w:pos="1221"/>
              </w:tabs>
              <w:rPr>
                <w:rFonts w:ascii="Times New Roman" w:hAnsi="Times New Roman" w:cs="Times New Roman"/>
                <w:b/>
                <w:bCs/>
              </w:rPr>
            </w:pPr>
            <w:r w:rsidRPr="00FB0031">
              <w:rPr>
                <w:rFonts w:ascii="Times New Roman" w:hAnsi="Times New Roman" w:cs="Times New Roman"/>
                <w:b/>
              </w:rPr>
              <w:t>105</w:t>
            </w:r>
          </w:p>
        </w:tc>
      </w:tr>
      <w:tr w:rsidR="00E53D8F" w:rsidRPr="00B824AA" w14:paraId="14CF17AE" w14:textId="77777777" w:rsidTr="00866620">
        <w:tc>
          <w:tcPr>
            <w:tcW w:w="2551" w:type="dxa"/>
            <w:tcBorders>
              <w:top w:val="nil"/>
              <w:bottom w:val="nil"/>
            </w:tcBorders>
            <w:vAlign w:val="center"/>
          </w:tcPr>
          <w:p w14:paraId="01404F08" w14:textId="77777777" w:rsidR="00E53D8F" w:rsidRPr="00877854" w:rsidRDefault="00E53D8F" w:rsidP="00284396">
            <w:pPr>
              <w:ind w:left="316"/>
              <w:rPr>
                <w:rFonts w:ascii="Times New Roman" w:hAnsi="Times New Roman" w:cs="Times New Roman"/>
                <w:b/>
                <w:bCs/>
              </w:rPr>
            </w:pPr>
            <w:r w:rsidRPr="00877854">
              <w:rPr>
                <w:rFonts w:ascii="Times New Roman" w:hAnsi="Times New Roman" w:cs="Times New Roman"/>
                <w:b/>
                <w:bCs/>
                <w:color w:val="000000"/>
              </w:rPr>
              <w:t>2020</w:t>
            </w:r>
          </w:p>
        </w:tc>
        <w:tc>
          <w:tcPr>
            <w:tcW w:w="2154" w:type="dxa"/>
            <w:tcBorders>
              <w:top w:val="nil"/>
              <w:bottom w:val="nil"/>
            </w:tcBorders>
          </w:tcPr>
          <w:p w14:paraId="1B24A599" w14:textId="3B23D841" w:rsidR="00E53D8F" w:rsidRPr="00FB0031" w:rsidRDefault="00E53D8F" w:rsidP="00284396">
            <w:pPr>
              <w:tabs>
                <w:tab w:val="decimal" w:pos="1135"/>
              </w:tabs>
              <w:rPr>
                <w:rFonts w:ascii="Times New Roman" w:hAnsi="Times New Roman" w:cs="Times New Roman"/>
                <w:b/>
                <w:bCs/>
              </w:rPr>
            </w:pPr>
            <w:r w:rsidRPr="00FB0031">
              <w:rPr>
                <w:rFonts w:ascii="Times New Roman" w:hAnsi="Times New Roman" w:cs="Times New Roman"/>
                <w:b/>
              </w:rPr>
              <w:t>60</w:t>
            </w:r>
          </w:p>
        </w:tc>
        <w:tc>
          <w:tcPr>
            <w:tcW w:w="2154" w:type="dxa"/>
            <w:tcBorders>
              <w:top w:val="nil"/>
              <w:bottom w:val="nil"/>
            </w:tcBorders>
          </w:tcPr>
          <w:p w14:paraId="67F1A131" w14:textId="692C0F74" w:rsidR="00E53D8F" w:rsidRPr="00FB0031" w:rsidRDefault="00E53D8F" w:rsidP="00284396">
            <w:pPr>
              <w:tabs>
                <w:tab w:val="decimal" w:pos="1107"/>
              </w:tabs>
              <w:rPr>
                <w:rFonts w:ascii="Times New Roman" w:hAnsi="Times New Roman" w:cs="Times New Roman"/>
                <w:b/>
                <w:bCs/>
              </w:rPr>
            </w:pPr>
            <w:r w:rsidRPr="00FB0031">
              <w:rPr>
                <w:rFonts w:ascii="Times New Roman" w:hAnsi="Times New Roman" w:cs="Times New Roman"/>
                <w:b/>
              </w:rPr>
              <w:t>55</w:t>
            </w:r>
          </w:p>
        </w:tc>
        <w:tc>
          <w:tcPr>
            <w:tcW w:w="2154" w:type="dxa"/>
            <w:tcBorders>
              <w:top w:val="nil"/>
              <w:bottom w:val="nil"/>
            </w:tcBorders>
          </w:tcPr>
          <w:p w14:paraId="3BC1CC80" w14:textId="5A59B246" w:rsidR="00E53D8F" w:rsidRPr="00FB0031" w:rsidRDefault="00E53D8F" w:rsidP="00284396">
            <w:pPr>
              <w:tabs>
                <w:tab w:val="decimal" w:pos="1221"/>
              </w:tabs>
              <w:rPr>
                <w:rFonts w:ascii="Times New Roman" w:hAnsi="Times New Roman" w:cs="Times New Roman"/>
                <w:b/>
                <w:bCs/>
              </w:rPr>
            </w:pPr>
            <w:r w:rsidRPr="00FB0031">
              <w:rPr>
                <w:rFonts w:ascii="Times New Roman" w:hAnsi="Times New Roman" w:cs="Times New Roman"/>
                <w:b/>
              </w:rPr>
              <w:t>108</w:t>
            </w:r>
          </w:p>
        </w:tc>
      </w:tr>
      <w:tr w:rsidR="00E53D8F" w:rsidRPr="00B824AA" w14:paraId="77B418FE" w14:textId="77777777" w:rsidTr="00866620">
        <w:tc>
          <w:tcPr>
            <w:tcW w:w="2551" w:type="dxa"/>
            <w:tcBorders>
              <w:top w:val="nil"/>
              <w:bottom w:val="nil"/>
            </w:tcBorders>
            <w:vAlign w:val="center"/>
          </w:tcPr>
          <w:p w14:paraId="0D65F347" w14:textId="77777777" w:rsidR="00E53D8F" w:rsidRPr="00877854" w:rsidRDefault="00E53D8F" w:rsidP="00284396">
            <w:pPr>
              <w:ind w:left="316"/>
              <w:rPr>
                <w:rFonts w:ascii="Times New Roman" w:hAnsi="Times New Roman" w:cs="Times New Roman"/>
                <w:b/>
                <w:bCs/>
              </w:rPr>
            </w:pPr>
            <w:r w:rsidRPr="00877854">
              <w:rPr>
                <w:rFonts w:ascii="Times New Roman" w:hAnsi="Times New Roman" w:cs="Times New Roman"/>
                <w:b/>
                <w:bCs/>
                <w:color w:val="000000"/>
              </w:rPr>
              <w:t>2021</w:t>
            </w:r>
          </w:p>
        </w:tc>
        <w:tc>
          <w:tcPr>
            <w:tcW w:w="2154" w:type="dxa"/>
            <w:tcBorders>
              <w:top w:val="nil"/>
              <w:bottom w:val="nil"/>
            </w:tcBorders>
          </w:tcPr>
          <w:p w14:paraId="1B329D86" w14:textId="3E191F2A" w:rsidR="00E53D8F" w:rsidRPr="00FB0031" w:rsidRDefault="00E53D8F" w:rsidP="00284396">
            <w:pPr>
              <w:tabs>
                <w:tab w:val="decimal" w:pos="1135"/>
              </w:tabs>
              <w:rPr>
                <w:rFonts w:ascii="Times New Roman" w:hAnsi="Times New Roman" w:cs="Times New Roman"/>
                <w:b/>
                <w:bCs/>
              </w:rPr>
            </w:pPr>
            <w:r w:rsidRPr="00FB0031">
              <w:rPr>
                <w:rFonts w:ascii="Times New Roman" w:hAnsi="Times New Roman" w:cs="Times New Roman"/>
                <w:b/>
              </w:rPr>
              <w:t>61</w:t>
            </w:r>
          </w:p>
        </w:tc>
        <w:tc>
          <w:tcPr>
            <w:tcW w:w="2154" w:type="dxa"/>
            <w:tcBorders>
              <w:top w:val="nil"/>
              <w:bottom w:val="nil"/>
            </w:tcBorders>
          </w:tcPr>
          <w:p w14:paraId="7FD1D007" w14:textId="64CD7223" w:rsidR="00E53D8F" w:rsidRPr="00FB0031" w:rsidRDefault="00E53D8F" w:rsidP="00284396">
            <w:pPr>
              <w:tabs>
                <w:tab w:val="decimal" w:pos="1107"/>
              </w:tabs>
              <w:rPr>
                <w:rFonts w:ascii="Times New Roman" w:hAnsi="Times New Roman" w:cs="Times New Roman"/>
                <w:b/>
                <w:bCs/>
              </w:rPr>
            </w:pPr>
            <w:r w:rsidRPr="00FB0031">
              <w:rPr>
                <w:rFonts w:ascii="Times New Roman" w:hAnsi="Times New Roman" w:cs="Times New Roman"/>
                <w:b/>
              </w:rPr>
              <w:t>56</w:t>
            </w:r>
          </w:p>
        </w:tc>
        <w:tc>
          <w:tcPr>
            <w:tcW w:w="2154" w:type="dxa"/>
            <w:tcBorders>
              <w:top w:val="nil"/>
              <w:bottom w:val="nil"/>
            </w:tcBorders>
          </w:tcPr>
          <w:p w14:paraId="2F269F25" w14:textId="38A0876D" w:rsidR="00E53D8F" w:rsidRPr="00FB0031" w:rsidRDefault="00E53D8F" w:rsidP="00284396">
            <w:pPr>
              <w:tabs>
                <w:tab w:val="decimal" w:pos="1221"/>
              </w:tabs>
              <w:rPr>
                <w:rFonts w:ascii="Times New Roman" w:hAnsi="Times New Roman" w:cs="Times New Roman"/>
                <w:b/>
                <w:bCs/>
              </w:rPr>
            </w:pPr>
            <w:r w:rsidRPr="00FB0031">
              <w:rPr>
                <w:rFonts w:ascii="Times New Roman" w:hAnsi="Times New Roman" w:cs="Times New Roman"/>
                <w:b/>
              </w:rPr>
              <w:t>108</w:t>
            </w:r>
          </w:p>
        </w:tc>
      </w:tr>
      <w:tr w:rsidR="00E53D8F" w:rsidRPr="00B824AA" w14:paraId="620C2BE7" w14:textId="77777777" w:rsidTr="00866620">
        <w:tc>
          <w:tcPr>
            <w:tcW w:w="2551" w:type="dxa"/>
            <w:tcBorders>
              <w:top w:val="nil"/>
              <w:bottom w:val="nil"/>
            </w:tcBorders>
            <w:vAlign w:val="center"/>
          </w:tcPr>
          <w:p w14:paraId="6B5AA1FC" w14:textId="07FD1E2E" w:rsidR="00E53D8F" w:rsidRPr="00877854" w:rsidRDefault="00E53D8F" w:rsidP="00284396">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bottom w:val="nil"/>
            </w:tcBorders>
          </w:tcPr>
          <w:p w14:paraId="0F053F7B" w14:textId="01782ADB" w:rsidR="00E53D8F" w:rsidRPr="00FB0031" w:rsidRDefault="00E53D8F" w:rsidP="00284396">
            <w:pPr>
              <w:tabs>
                <w:tab w:val="decimal" w:pos="1135"/>
              </w:tabs>
              <w:rPr>
                <w:rFonts w:ascii="Times New Roman" w:hAnsi="Times New Roman" w:cs="Times New Roman"/>
                <w:b/>
                <w:bCs/>
                <w:color w:val="000000"/>
              </w:rPr>
            </w:pPr>
            <w:r w:rsidRPr="00FB0031">
              <w:rPr>
                <w:rFonts w:ascii="Times New Roman" w:hAnsi="Times New Roman" w:cs="Times New Roman"/>
                <w:b/>
              </w:rPr>
              <w:t>56</w:t>
            </w:r>
          </w:p>
        </w:tc>
        <w:tc>
          <w:tcPr>
            <w:tcW w:w="2154" w:type="dxa"/>
            <w:tcBorders>
              <w:top w:val="nil"/>
              <w:bottom w:val="nil"/>
            </w:tcBorders>
          </w:tcPr>
          <w:p w14:paraId="5760F99F" w14:textId="7A10C742" w:rsidR="00E53D8F" w:rsidRPr="00FB0031" w:rsidRDefault="00E53D8F" w:rsidP="00284396">
            <w:pPr>
              <w:tabs>
                <w:tab w:val="decimal" w:pos="1107"/>
              </w:tabs>
              <w:rPr>
                <w:rFonts w:ascii="Times New Roman" w:hAnsi="Times New Roman" w:cs="Times New Roman"/>
                <w:b/>
                <w:bCs/>
                <w:color w:val="000000"/>
              </w:rPr>
            </w:pPr>
            <w:r w:rsidRPr="00FB0031">
              <w:rPr>
                <w:rFonts w:ascii="Times New Roman" w:hAnsi="Times New Roman" w:cs="Times New Roman"/>
                <w:b/>
              </w:rPr>
              <w:t>50</w:t>
            </w:r>
          </w:p>
        </w:tc>
        <w:tc>
          <w:tcPr>
            <w:tcW w:w="2154" w:type="dxa"/>
            <w:tcBorders>
              <w:top w:val="nil"/>
              <w:bottom w:val="nil"/>
            </w:tcBorders>
          </w:tcPr>
          <w:p w14:paraId="3E551B7C" w14:textId="70B9158D" w:rsidR="00E53D8F" w:rsidRPr="00FB0031" w:rsidRDefault="00E53D8F" w:rsidP="00284396">
            <w:pPr>
              <w:tabs>
                <w:tab w:val="decimal" w:pos="1221"/>
              </w:tabs>
              <w:rPr>
                <w:rFonts w:ascii="Times New Roman" w:hAnsi="Times New Roman" w:cs="Times New Roman"/>
                <w:b/>
                <w:bCs/>
                <w:color w:val="000000"/>
              </w:rPr>
            </w:pPr>
            <w:r w:rsidRPr="00FB0031">
              <w:rPr>
                <w:rFonts w:ascii="Times New Roman" w:hAnsi="Times New Roman" w:cs="Times New Roman"/>
                <w:b/>
              </w:rPr>
              <w:t>102</w:t>
            </w:r>
          </w:p>
        </w:tc>
      </w:tr>
      <w:tr w:rsidR="00CA4175" w:rsidRPr="00B824AA" w14:paraId="761A2A74" w14:textId="77777777" w:rsidTr="00B41C82">
        <w:tc>
          <w:tcPr>
            <w:tcW w:w="2551" w:type="dxa"/>
            <w:tcBorders>
              <w:top w:val="nil"/>
              <w:bottom w:val="nil"/>
            </w:tcBorders>
            <w:vAlign w:val="center"/>
          </w:tcPr>
          <w:p w14:paraId="67CC2522" w14:textId="77777777" w:rsidR="00CA4175" w:rsidRPr="00B824AA" w:rsidRDefault="00CA4175" w:rsidP="00CC3BD8">
            <w:pPr>
              <w:ind w:left="316"/>
              <w:rPr>
                <w:rFonts w:ascii="Times New Roman" w:hAnsi="Times New Roman" w:cs="Times New Roman"/>
                <w:color w:val="000000"/>
              </w:rPr>
            </w:pPr>
          </w:p>
          <w:p w14:paraId="1DB968AA" w14:textId="77777777" w:rsidR="00CA4175" w:rsidRPr="00B824AA" w:rsidRDefault="00CA4175" w:rsidP="00CC3BD8">
            <w:pPr>
              <w:ind w:left="316"/>
              <w:rPr>
                <w:rFonts w:ascii="Times New Roman" w:hAnsi="Times New Roman" w:cs="Times New Roman"/>
              </w:rPr>
            </w:pPr>
            <w:r w:rsidRPr="00B824AA">
              <w:rPr>
                <w:rFonts w:ascii="Times New Roman" w:hAnsi="Times New Roman" w:cs="Times New Roman"/>
                <w:color w:val="000000"/>
              </w:rPr>
              <w:t>Wczesna edukacja</w:t>
            </w:r>
          </w:p>
        </w:tc>
        <w:tc>
          <w:tcPr>
            <w:tcW w:w="2154" w:type="dxa"/>
            <w:tcBorders>
              <w:top w:val="nil"/>
              <w:bottom w:val="nil"/>
            </w:tcBorders>
            <w:vAlign w:val="bottom"/>
          </w:tcPr>
          <w:p w14:paraId="6CF0F708" w14:textId="77777777" w:rsidR="00CA4175" w:rsidRPr="00B824AA" w:rsidRDefault="00CA4175" w:rsidP="00CC3BD8">
            <w:pPr>
              <w:tabs>
                <w:tab w:val="decimal" w:pos="1135"/>
              </w:tabs>
              <w:rPr>
                <w:rFonts w:ascii="Times New Roman" w:hAnsi="Times New Roman" w:cs="Times New Roman"/>
              </w:rPr>
            </w:pPr>
          </w:p>
        </w:tc>
        <w:tc>
          <w:tcPr>
            <w:tcW w:w="2154" w:type="dxa"/>
            <w:tcBorders>
              <w:top w:val="nil"/>
              <w:bottom w:val="nil"/>
            </w:tcBorders>
            <w:vAlign w:val="bottom"/>
          </w:tcPr>
          <w:p w14:paraId="7341CD5D" w14:textId="77777777" w:rsidR="00CA4175" w:rsidRPr="00B824AA" w:rsidRDefault="00CA4175" w:rsidP="00CC3BD8">
            <w:pPr>
              <w:tabs>
                <w:tab w:val="decimal" w:pos="1107"/>
              </w:tabs>
              <w:rPr>
                <w:rFonts w:ascii="Times New Roman" w:hAnsi="Times New Roman" w:cs="Times New Roman"/>
              </w:rPr>
            </w:pPr>
          </w:p>
        </w:tc>
        <w:tc>
          <w:tcPr>
            <w:tcW w:w="2154" w:type="dxa"/>
            <w:tcBorders>
              <w:top w:val="nil"/>
              <w:bottom w:val="nil"/>
            </w:tcBorders>
            <w:vAlign w:val="bottom"/>
          </w:tcPr>
          <w:p w14:paraId="3E705282" w14:textId="77777777" w:rsidR="00CA4175" w:rsidRPr="00B824AA" w:rsidRDefault="00CA4175" w:rsidP="00CC3BD8">
            <w:pPr>
              <w:tabs>
                <w:tab w:val="decimal" w:pos="1221"/>
              </w:tabs>
              <w:rPr>
                <w:rFonts w:ascii="Times New Roman" w:hAnsi="Times New Roman" w:cs="Times New Roman"/>
              </w:rPr>
            </w:pPr>
          </w:p>
        </w:tc>
      </w:tr>
      <w:tr w:rsidR="00825FCB" w:rsidRPr="00B824AA" w14:paraId="54398DED" w14:textId="77777777" w:rsidTr="00866620">
        <w:tc>
          <w:tcPr>
            <w:tcW w:w="2551" w:type="dxa"/>
            <w:tcBorders>
              <w:top w:val="nil"/>
              <w:bottom w:val="nil"/>
            </w:tcBorders>
            <w:vAlign w:val="center"/>
          </w:tcPr>
          <w:p w14:paraId="64DB8D30" w14:textId="77777777" w:rsidR="00825FCB" w:rsidRPr="00B824AA" w:rsidRDefault="00825FCB" w:rsidP="008B5D44">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55C45DC0" w14:textId="26A10242" w:rsidR="00825FCB" w:rsidRPr="00825FCB" w:rsidRDefault="00825FCB" w:rsidP="008B5D44">
            <w:pPr>
              <w:tabs>
                <w:tab w:val="decimal" w:pos="1135"/>
              </w:tabs>
              <w:rPr>
                <w:rFonts w:ascii="Times New Roman" w:hAnsi="Times New Roman" w:cs="Times New Roman"/>
              </w:rPr>
            </w:pPr>
            <w:r w:rsidRPr="00825FCB">
              <w:rPr>
                <w:rFonts w:ascii="Times New Roman" w:hAnsi="Times New Roman" w:cs="Times New Roman"/>
              </w:rPr>
              <w:t>74</w:t>
            </w:r>
          </w:p>
        </w:tc>
        <w:tc>
          <w:tcPr>
            <w:tcW w:w="2154" w:type="dxa"/>
            <w:tcBorders>
              <w:top w:val="nil"/>
              <w:bottom w:val="nil"/>
            </w:tcBorders>
          </w:tcPr>
          <w:p w14:paraId="694D7D7E" w14:textId="09E0635D" w:rsidR="00825FCB" w:rsidRPr="00825FCB" w:rsidRDefault="00825FCB" w:rsidP="008B5D44">
            <w:pPr>
              <w:tabs>
                <w:tab w:val="decimal" w:pos="1107"/>
              </w:tabs>
              <w:rPr>
                <w:rFonts w:ascii="Times New Roman" w:hAnsi="Times New Roman" w:cs="Times New Roman"/>
              </w:rPr>
            </w:pPr>
            <w:r w:rsidRPr="00825FCB">
              <w:rPr>
                <w:rFonts w:ascii="Times New Roman" w:hAnsi="Times New Roman" w:cs="Times New Roman"/>
              </w:rPr>
              <w:t>71</w:t>
            </w:r>
          </w:p>
        </w:tc>
        <w:tc>
          <w:tcPr>
            <w:tcW w:w="2154" w:type="dxa"/>
            <w:tcBorders>
              <w:top w:val="nil"/>
              <w:bottom w:val="nil"/>
            </w:tcBorders>
          </w:tcPr>
          <w:p w14:paraId="5CD43672" w14:textId="0050A1E8" w:rsidR="00825FCB" w:rsidRPr="00825FCB" w:rsidRDefault="00825FCB" w:rsidP="008B5D44">
            <w:pPr>
              <w:tabs>
                <w:tab w:val="decimal" w:pos="1221"/>
              </w:tabs>
              <w:rPr>
                <w:rFonts w:ascii="Times New Roman" w:hAnsi="Times New Roman" w:cs="Times New Roman"/>
              </w:rPr>
            </w:pPr>
            <w:r w:rsidRPr="00825FCB">
              <w:rPr>
                <w:rFonts w:ascii="Times New Roman" w:hAnsi="Times New Roman" w:cs="Times New Roman"/>
              </w:rPr>
              <w:t>86</w:t>
            </w:r>
          </w:p>
        </w:tc>
      </w:tr>
      <w:tr w:rsidR="00825FCB" w:rsidRPr="00B824AA" w14:paraId="2928B036" w14:textId="77777777" w:rsidTr="00866620">
        <w:tc>
          <w:tcPr>
            <w:tcW w:w="2551" w:type="dxa"/>
            <w:tcBorders>
              <w:top w:val="nil"/>
              <w:bottom w:val="nil"/>
            </w:tcBorders>
            <w:vAlign w:val="center"/>
          </w:tcPr>
          <w:p w14:paraId="3F06A71F" w14:textId="77777777" w:rsidR="00825FCB" w:rsidRPr="00B824AA" w:rsidRDefault="00825FCB" w:rsidP="008B5D44">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7D462AEC" w14:textId="306000D2" w:rsidR="00825FCB" w:rsidRPr="00825FCB" w:rsidRDefault="00825FCB" w:rsidP="008B5D44">
            <w:pPr>
              <w:tabs>
                <w:tab w:val="decimal" w:pos="1135"/>
              </w:tabs>
              <w:rPr>
                <w:rFonts w:ascii="Times New Roman" w:hAnsi="Times New Roman" w:cs="Times New Roman"/>
              </w:rPr>
            </w:pPr>
            <w:r w:rsidRPr="00825FCB">
              <w:rPr>
                <w:rFonts w:ascii="Times New Roman" w:hAnsi="Times New Roman" w:cs="Times New Roman"/>
              </w:rPr>
              <w:t>86</w:t>
            </w:r>
          </w:p>
        </w:tc>
        <w:tc>
          <w:tcPr>
            <w:tcW w:w="2154" w:type="dxa"/>
            <w:tcBorders>
              <w:top w:val="nil"/>
              <w:bottom w:val="nil"/>
            </w:tcBorders>
          </w:tcPr>
          <w:p w14:paraId="07E997B3" w14:textId="6E0C5353" w:rsidR="00825FCB" w:rsidRPr="00825FCB" w:rsidRDefault="00825FCB" w:rsidP="008B5D44">
            <w:pPr>
              <w:tabs>
                <w:tab w:val="decimal" w:pos="1107"/>
              </w:tabs>
              <w:rPr>
                <w:rFonts w:ascii="Times New Roman" w:hAnsi="Times New Roman" w:cs="Times New Roman"/>
              </w:rPr>
            </w:pPr>
            <w:r w:rsidRPr="00825FCB">
              <w:rPr>
                <w:rFonts w:ascii="Times New Roman" w:hAnsi="Times New Roman" w:cs="Times New Roman"/>
              </w:rPr>
              <w:t>84</w:t>
            </w:r>
          </w:p>
        </w:tc>
        <w:tc>
          <w:tcPr>
            <w:tcW w:w="2154" w:type="dxa"/>
            <w:tcBorders>
              <w:top w:val="nil"/>
              <w:bottom w:val="nil"/>
            </w:tcBorders>
          </w:tcPr>
          <w:p w14:paraId="276D5A29" w14:textId="69E599FA" w:rsidR="00825FCB" w:rsidRPr="00825FCB" w:rsidRDefault="00825FCB" w:rsidP="008B5D44">
            <w:pPr>
              <w:tabs>
                <w:tab w:val="decimal" w:pos="1221"/>
              </w:tabs>
              <w:rPr>
                <w:rFonts w:ascii="Times New Roman" w:hAnsi="Times New Roman" w:cs="Times New Roman"/>
              </w:rPr>
            </w:pPr>
            <w:r w:rsidRPr="00825FCB">
              <w:rPr>
                <w:rFonts w:ascii="Times New Roman" w:hAnsi="Times New Roman" w:cs="Times New Roman"/>
              </w:rPr>
              <w:t>96</w:t>
            </w:r>
          </w:p>
        </w:tc>
      </w:tr>
      <w:tr w:rsidR="00825FCB" w:rsidRPr="00B824AA" w14:paraId="3ACDCEB5" w14:textId="77777777" w:rsidTr="00866620">
        <w:tc>
          <w:tcPr>
            <w:tcW w:w="2551" w:type="dxa"/>
            <w:tcBorders>
              <w:top w:val="nil"/>
              <w:bottom w:val="nil"/>
            </w:tcBorders>
            <w:vAlign w:val="center"/>
          </w:tcPr>
          <w:p w14:paraId="18FCCEE0" w14:textId="77777777" w:rsidR="00825FCB" w:rsidRPr="00B824AA" w:rsidRDefault="00825FCB" w:rsidP="008B5D44">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35993740" w14:textId="2850EB35" w:rsidR="00825FCB" w:rsidRPr="00825FCB" w:rsidRDefault="00825FCB" w:rsidP="008B5D44">
            <w:pPr>
              <w:tabs>
                <w:tab w:val="decimal" w:pos="1135"/>
              </w:tabs>
              <w:rPr>
                <w:rFonts w:ascii="Times New Roman" w:hAnsi="Times New Roman" w:cs="Times New Roman"/>
              </w:rPr>
            </w:pPr>
            <w:r w:rsidRPr="00825FCB">
              <w:rPr>
                <w:rFonts w:ascii="Times New Roman" w:hAnsi="Times New Roman" w:cs="Times New Roman"/>
              </w:rPr>
              <w:t>97</w:t>
            </w:r>
          </w:p>
        </w:tc>
        <w:tc>
          <w:tcPr>
            <w:tcW w:w="2154" w:type="dxa"/>
            <w:tcBorders>
              <w:top w:val="nil"/>
              <w:bottom w:val="nil"/>
            </w:tcBorders>
          </w:tcPr>
          <w:p w14:paraId="51E95DDA" w14:textId="435C0C7F" w:rsidR="00825FCB" w:rsidRPr="00825FCB" w:rsidRDefault="00825FCB" w:rsidP="008B5D44">
            <w:pPr>
              <w:tabs>
                <w:tab w:val="decimal" w:pos="1107"/>
              </w:tabs>
              <w:rPr>
                <w:rFonts w:ascii="Times New Roman" w:hAnsi="Times New Roman" w:cs="Times New Roman"/>
              </w:rPr>
            </w:pPr>
            <w:r w:rsidRPr="00825FCB">
              <w:rPr>
                <w:rFonts w:ascii="Times New Roman" w:hAnsi="Times New Roman" w:cs="Times New Roman"/>
              </w:rPr>
              <w:t>95</w:t>
            </w:r>
          </w:p>
        </w:tc>
        <w:tc>
          <w:tcPr>
            <w:tcW w:w="2154" w:type="dxa"/>
            <w:tcBorders>
              <w:top w:val="nil"/>
              <w:bottom w:val="nil"/>
            </w:tcBorders>
          </w:tcPr>
          <w:p w14:paraId="00C2589A" w14:textId="3D583F7A" w:rsidR="00825FCB" w:rsidRPr="00825FCB" w:rsidRDefault="00825FCB" w:rsidP="008B5D44">
            <w:pPr>
              <w:tabs>
                <w:tab w:val="decimal" w:pos="1221"/>
              </w:tabs>
              <w:rPr>
                <w:rFonts w:ascii="Times New Roman" w:hAnsi="Times New Roman" w:cs="Times New Roman"/>
              </w:rPr>
            </w:pPr>
            <w:r w:rsidRPr="00825FCB">
              <w:rPr>
                <w:rFonts w:ascii="Times New Roman" w:hAnsi="Times New Roman" w:cs="Times New Roman"/>
              </w:rPr>
              <w:t>104</w:t>
            </w:r>
          </w:p>
        </w:tc>
      </w:tr>
      <w:tr w:rsidR="00825FCB" w:rsidRPr="00B824AA" w14:paraId="586ABD78" w14:textId="77777777" w:rsidTr="00866620">
        <w:tc>
          <w:tcPr>
            <w:tcW w:w="2551" w:type="dxa"/>
            <w:tcBorders>
              <w:top w:val="nil"/>
              <w:bottom w:val="nil"/>
            </w:tcBorders>
            <w:vAlign w:val="center"/>
          </w:tcPr>
          <w:p w14:paraId="0357A998" w14:textId="77777777" w:rsidR="00825FCB" w:rsidRPr="00B824AA" w:rsidRDefault="00825FCB" w:rsidP="008B5D44">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5511CF36" w14:textId="7D87EEE7" w:rsidR="00825FCB" w:rsidRPr="00825FCB" w:rsidRDefault="00825FCB" w:rsidP="008B5D44">
            <w:pPr>
              <w:tabs>
                <w:tab w:val="decimal" w:pos="1135"/>
              </w:tabs>
              <w:rPr>
                <w:rFonts w:ascii="Times New Roman" w:hAnsi="Times New Roman" w:cs="Times New Roman"/>
              </w:rPr>
            </w:pPr>
            <w:r w:rsidRPr="00825FCB">
              <w:rPr>
                <w:rFonts w:ascii="Times New Roman" w:hAnsi="Times New Roman" w:cs="Times New Roman"/>
              </w:rPr>
              <w:t>96</w:t>
            </w:r>
          </w:p>
        </w:tc>
        <w:tc>
          <w:tcPr>
            <w:tcW w:w="2154" w:type="dxa"/>
            <w:tcBorders>
              <w:top w:val="nil"/>
              <w:bottom w:val="nil"/>
            </w:tcBorders>
          </w:tcPr>
          <w:p w14:paraId="27471DCA" w14:textId="62E50DF9" w:rsidR="00825FCB" w:rsidRPr="00825FCB" w:rsidRDefault="00825FCB" w:rsidP="008B5D44">
            <w:pPr>
              <w:tabs>
                <w:tab w:val="decimal" w:pos="1107"/>
              </w:tabs>
              <w:rPr>
                <w:rFonts w:ascii="Times New Roman" w:hAnsi="Times New Roman" w:cs="Times New Roman"/>
              </w:rPr>
            </w:pPr>
            <w:r w:rsidRPr="00825FCB">
              <w:rPr>
                <w:rFonts w:ascii="Times New Roman" w:hAnsi="Times New Roman" w:cs="Times New Roman"/>
              </w:rPr>
              <w:t>94</w:t>
            </w:r>
          </w:p>
        </w:tc>
        <w:tc>
          <w:tcPr>
            <w:tcW w:w="2154" w:type="dxa"/>
            <w:tcBorders>
              <w:top w:val="nil"/>
              <w:bottom w:val="nil"/>
            </w:tcBorders>
          </w:tcPr>
          <w:p w14:paraId="6E4E99AF" w14:textId="0856059E" w:rsidR="00825FCB" w:rsidRPr="00825FCB" w:rsidRDefault="00825FCB" w:rsidP="008B5D44">
            <w:pPr>
              <w:tabs>
                <w:tab w:val="decimal" w:pos="1221"/>
              </w:tabs>
              <w:rPr>
                <w:rFonts w:ascii="Times New Roman" w:hAnsi="Times New Roman" w:cs="Times New Roman"/>
              </w:rPr>
            </w:pPr>
            <w:r w:rsidRPr="00825FCB">
              <w:rPr>
                <w:rFonts w:ascii="Times New Roman" w:hAnsi="Times New Roman" w:cs="Times New Roman"/>
              </w:rPr>
              <w:t>104</w:t>
            </w:r>
          </w:p>
        </w:tc>
      </w:tr>
      <w:tr w:rsidR="00825FCB" w:rsidRPr="00B824AA" w14:paraId="795804AB" w14:textId="77777777" w:rsidTr="00866620">
        <w:tc>
          <w:tcPr>
            <w:tcW w:w="2551" w:type="dxa"/>
            <w:tcBorders>
              <w:top w:val="nil"/>
              <w:bottom w:val="nil"/>
            </w:tcBorders>
            <w:vAlign w:val="center"/>
          </w:tcPr>
          <w:p w14:paraId="58C85E58" w14:textId="40B80962" w:rsidR="00825FCB" w:rsidRPr="00B824AA" w:rsidRDefault="00825FCB" w:rsidP="008B5D44">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19D8308F" w14:textId="6722310C" w:rsidR="00825FCB" w:rsidRPr="00825FCB" w:rsidRDefault="00825FCB" w:rsidP="008B5D44">
            <w:pPr>
              <w:tabs>
                <w:tab w:val="decimal" w:pos="1135"/>
              </w:tabs>
              <w:rPr>
                <w:rFonts w:ascii="Times New Roman" w:hAnsi="Times New Roman" w:cs="Times New Roman"/>
                <w:color w:val="000000"/>
              </w:rPr>
            </w:pPr>
            <w:r w:rsidRPr="00825FCB">
              <w:rPr>
                <w:rFonts w:ascii="Times New Roman" w:hAnsi="Times New Roman" w:cs="Times New Roman"/>
              </w:rPr>
              <w:t>98</w:t>
            </w:r>
          </w:p>
        </w:tc>
        <w:tc>
          <w:tcPr>
            <w:tcW w:w="2154" w:type="dxa"/>
            <w:tcBorders>
              <w:top w:val="nil"/>
              <w:bottom w:val="nil"/>
            </w:tcBorders>
          </w:tcPr>
          <w:p w14:paraId="15CBA895" w14:textId="25C09179" w:rsidR="00825FCB" w:rsidRPr="00825FCB" w:rsidRDefault="00825FCB" w:rsidP="008B5D44">
            <w:pPr>
              <w:tabs>
                <w:tab w:val="decimal" w:pos="1107"/>
              </w:tabs>
              <w:rPr>
                <w:rFonts w:ascii="Times New Roman" w:hAnsi="Times New Roman" w:cs="Times New Roman"/>
                <w:color w:val="000000"/>
              </w:rPr>
            </w:pPr>
            <w:r w:rsidRPr="00825FCB">
              <w:rPr>
                <w:rFonts w:ascii="Times New Roman" w:hAnsi="Times New Roman" w:cs="Times New Roman"/>
              </w:rPr>
              <w:t>96</w:t>
            </w:r>
          </w:p>
        </w:tc>
        <w:tc>
          <w:tcPr>
            <w:tcW w:w="2154" w:type="dxa"/>
            <w:tcBorders>
              <w:top w:val="nil"/>
              <w:bottom w:val="nil"/>
            </w:tcBorders>
          </w:tcPr>
          <w:p w14:paraId="410F0C4F" w14:textId="679988F3" w:rsidR="00825FCB" w:rsidRPr="00825FCB" w:rsidRDefault="00825FCB" w:rsidP="008B5D44">
            <w:pPr>
              <w:tabs>
                <w:tab w:val="decimal" w:pos="1221"/>
              </w:tabs>
              <w:rPr>
                <w:rFonts w:ascii="Times New Roman" w:hAnsi="Times New Roman" w:cs="Times New Roman"/>
                <w:color w:val="000000"/>
              </w:rPr>
            </w:pPr>
            <w:r w:rsidRPr="00825FCB">
              <w:rPr>
                <w:rFonts w:ascii="Times New Roman" w:hAnsi="Times New Roman" w:cs="Times New Roman"/>
              </w:rPr>
              <w:t>105</w:t>
            </w:r>
          </w:p>
        </w:tc>
      </w:tr>
      <w:tr w:rsidR="00CA4175" w:rsidRPr="00B824AA" w14:paraId="17EABBEE" w14:textId="77777777" w:rsidTr="00B41C82">
        <w:tc>
          <w:tcPr>
            <w:tcW w:w="2551" w:type="dxa"/>
            <w:tcBorders>
              <w:top w:val="nil"/>
              <w:bottom w:val="nil"/>
            </w:tcBorders>
            <w:vAlign w:val="center"/>
          </w:tcPr>
          <w:p w14:paraId="44494560" w14:textId="77777777" w:rsidR="00B41C82" w:rsidRPr="00B824AA" w:rsidRDefault="00B41C82" w:rsidP="00CC3BD8">
            <w:pPr>
              <w:ind w:left="316"/>
              <w:rPr>
                <w:rFonts w:ascii="Times New Roman" w:hAnsi="Times New Roman" w:cs="Times New Roman"/>
                <w:color w:val="000000"/>
              </w:rPr>
            </w:pPr>
          </w:p>
          <w:p w14:paraId="047FC987" w14:textId="11F377D8" w:rsidR="00CA4175" w:rsidRPr="00B824AA" w:rsidRDefault="00CA4175" w:rsidP="00CC3BD8">
            <w:pPr>
              <w:ind w:left="316"/>
              <w:rPr>
                <w:rFonts w:ascii="Times New Roman" w:hAnsi="Times New Roman" w:cs="Times New Roman"/>
              </w:rPr>
            </w:pPr>
            <w:r w:rsidRPr="00B824AA">
              <w:rPr>
                <w:rFonts w:ascii="Times New Roman" w:hAnsi="Times New Roman" w:cs="Times New Roman"/>
                <w:color w:val="000000"/>
              </w:rPr>
              <w:t>Uczenie się przez całe życie</w:t>
            </w:r>
          </w:p>
        </w:tc>
        <w:tc>
          <w:tcPr>
            <w:tcW w:w="2154" w:type="dxa"/>
            <w:tcBorders>
              <w:top w:val="nil"/>
              <w:bottom w:val="nil"/>
            </w:tcBorders>
            <w:vAlign w:val="bottom"/>
          </w:tcPr>
          <w:p w14:paraId="356301D5" w14:textId="77777777" w:rsidR="00CA4175" w:rsidRPr="00B824AA" w:rsidRDefault="00CA4175" w:rsidP="00CC3BD8">
            <w:pPr>
              <w:tabs>
                <w:tab w:val="decimal" w:pos="1135"/>
              </w:tabs>
              <w:rPr>
                <w:rFonts w:ascii="Times New Roman" w:hAnsi="Times New Roman" w:cs="Times New Roman"/>
              </w:rPr>
            </w:pPr>
          </w:p>
        </w:tc>
        <w:tc>
          <w:tcPr>
            <w:tcW w:w="2154" w:type="dxa"/>
            <w:tcBorders>
              <w:top w:val="nil"/>
              <w:bottom w:val="nil"/>
            </w:tcBorders>
            <w:vAlign w:val="bottom"/>
          </w:tcPr>
          <w:p w14:paraId="324A0E4A" w14:textId="77777777" w:rsidR="00CA4175" w:rsidRPr="00B824AA" w:rsidRDefault="00CA4175" w:rsidP="00CC3BD8">
            <w:pPr>
              <w:tabs>
                <w:tab w:val="decimal" w:pos="1107"/>
              </w:tabs>
              <w:rPr>
                <w:rFonts w:ascii="Times New Roman" w:hAnsi="Times New Roman" w:cs="Times New Roman"/>
              </w:rPr>
            </w:pPr>
          </w:p>
        </w:tc>
        <w:tc>
          <w:tcPr>
            <w:tcW w:w="2154" w:type="dxa"/>
            <w:tcBorders>
              <w:top w:val="nil"/>
              <w:bottom w:val="nil"/>
            </w:tcBorders>
            <w:vAlign w:val="bottom"/>
          </w:tcPr>
          <w:p w14:paraId="5E12F26A" w14:textId="77777777" w:rsidR="00CA4175" w:rsidRPr="00B824AA" w:rsidRDefault="00CA4175" w:rsidP="00CC3BD8">
            <w:pPr>
              <w:tabs>
                <w:tab w:val="decimal" w:pos="1221"/>
              </w:tabs>
              <w:rPr>
                <w:rFonts w:ascii="Times New Roman" w:hAnsi="Times New Roman" w:cs="Times New Roman"/>
              </w:rPr>
            </w:pPr>
          </w:p>
        </w:tc>
      </w:tr>
      <w:tr w:rsidR="008F1E63" w:rsidRPr="00B824AA" w14:paraId="704A9674" w14:textId="77777777" w:rsidTr="00866620">
        <w:tc>
          <w:tcPr>
            <w:tcW w:w="2551" w:type="dxa"/>
            <w:tcBorders>
              <w:top w:val="nil"/>
              <w:bottom w:val="nil"/>
            </w:tcBorders>
            <w:vAlign w:val="center"/>
          </w:tcPr>
          <w:p w14:paraId="233850C3" w14:textId="77777777" w:rsidR="008F1E63" w:rsidRPr="00B824AA" w:rsidRDefault="008F1E63" w:rsidP="008B5D44">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427EFE44" w14:textId="1EBA57AE" w:rsidR="008F1E63" w:rsidRPr="008F1E63" w:rsidRDefault="008F1E63" w:rsidP="008B5D44">
            <w:pPr>
              <w:tabs>
                <w:tab w:val="decimal" w:pos="1135"/>
              </w:tabs>
              <w:rPr>
                <w:rFonts w:ascii="Times New Roman" w:hAnsi="Times New Roman" w:cs="Times New Roman"/>
              </w:rPr>
            </w:pPr>
            <w:r w:rsidRPr="008F1E63">
              <w:rPr>
                <w:rFonts w:ascii="Times New Roman" w:hAnsi="Times New Roman" w:cs="Times New Roman"/>
              </w:rPr>
              <w:t>66</w:t>
            </w:r>
          </w:p>
        </w:tc>
        <w:tc>
          <w:tcPr>
            <w:tcW w:w="2154" w:type="dxa"/>
            <w:tcBorders>
              <w:top w:val="nil"/>
              <w:bottom w:val="nil"/>
            </w:tcBorders>
          </w:tcPr>
          <w:p w14:paraId="1CED3DBD" w14:textId="6DC263C8" w:rsidR="008F1E63" w:rsidRPr="008F1E63" w:rsidRDefault="008F1E63" w:rsidP="008B5D44">
            <w:pPr>
              <w:tabs>
                <w:tab w:val="decimal" w:pos="1107"/>
              </w:tabs>
              <w:rPr>
                <w:rFonts w:ascii="Times New Roman" w:hAnsi="Times New Roman" w:cs="Times New Roman"/>
              </w:rPr>
            </w:pPr>
            <w:r w:rsidRPr="008F1E63">
              <w:rPr>
                <w:rFonts w:ascii="Times New Roman" w:hAnsi="Times New Roman" w:cs="Times New Roman"/>
              </w:rPr>
              <w:t>58</w:t>
            </w:r>
          </w:p>
        </w:tc>
        <w:tc>
          <w:tcPr>
            <w:tcW w:w="2154" w:type="dxa"/>
            <w:tcBorders>
              <w:top w:val="nil"/>
              <w:bottom w:val="nil"/>
            </w:tcBorders>
          </w:tcPr>
          <w:p w14:paraId="546636A1" w14:textId="557AEAFD" w:rsidR="008F1E63" w:rsidRPr="008F1E63" w:rsidRDefault="008F1E63" w:rsidP="008B5D44">
            <w:pPr>
              <w:tabs>
                <w:tab w:val="decimal" w:pos="1221"/>
              </w:tabs>
              <w:rPr>
                <w:rFonts w:ascii="Times New Roman" w:hAnsi="Times New Roman" w:cs="Times New Roman"/>
              </w:rPr>
            </w:pPr>
            <w:r w:rsidRPr="008F1E63">
              <w:rPr>
                <w:rFonts w:ascii="Times New Roman" w:hAnsi="Times New Roman" w:cs="Times New Roman"/>
              </w:rPr>
              <w:t>118</w:t>
            </w:r>
          </w:p>
        </w:tc>
      </w:tr>
      <w:tr w:rsidR="008F1E63" w:rsidRPr="00B824AA" w14:paraId="56F6DC34" w14:textId="77777777" w:rsidTr="00866620">
        <w:tc>
          <w:tcPr>
            <w:tcW w:w="2551" w:type="dxa"/>
            <w:tcBorders>
              <w:top w:val="nil"/>
              <w:bottom w:val="nil"/>
            </w:tcBorders>
            <w:vAlign w:val="center"/>
          </w:tcPr>
          <w:p w14:paraId="787AC36B" w14:textId="77777777" w:rsidR="008F1E63" w:rsidRPr="00B824AA" w:rsidRDefault="008F1E63" w:rsidP="008B5D44">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18A7D3A3" w14:textId="6795C4FF" w:rsidR="008F1E63" w:rsidRPr="008F1E63" w:rsidRDefault="008F1E63" w:rsidP="008B5D44">
            <w:pPr>
              <w:tabs>
                <w:tab w:val="decimal" w:pos="1135"/>
              </w:tabs>
              <w:rPr>
                <w:rFonts w:ascii="Times New Roman" w:hAnsi="Times New Roman" w:cs="Times New Roman"/>
              </w:rPr>
            </w:pPr>
            <w:r w:rsidRPr="008F1E63">
              <w:rPr>
                <w:rFonts w:ascii="Times New Roman" w:hAnsi="Times New Roman" w:cs="Times New Roman"/>
              </w:rPr>
              <w:t>35</w:t>
            </w:r>
          </w:p>
        </w:tc>
        <w:tc>
          <w:tcPr>
            <w:tcW w:w="2154" w:type="dxa"/>
            <w:tcBorders>
              <w:top w:val="nil"/>
              <w:bottom w:val="nil"/>
            </w:tcBorders>
          </w:tcPr>
          <w:p w14:paraId="796EE01D" w14:textId="77B369B6" w:rsidR="008F1E63" w:rsidRPr="008F1E63" w:rsidRDefault="008F1E63" w:rsidP="008B5D44">
            <w:pPr>
              <w:tabs>
                <w:tab w:val="decimal" w:pos="1107"/>
              </w:tabs>
              <w:rPr>
                <w:rFonts w:ascii="Times New Roman" w:hAnsi="Times New Roman" w:cs="Times New Roman"/>
              </w:rPr>
            </w:pPr>
            <w:r w:rsidRPr="008F1E63">
              <w:rPr>
                <w:rFonts w:ascii="Times New Roman" w:hAnsi="Times New Roman" w:cs="Times New Roman"/>
              </w:rPr>
              <w:t>29</w:t>
            </w:r>
          </w:p>
        </w:tc>
        <w:tc>
          <w:tcPr>
            <w:tcW w:w="2154" w:type="dxa"/>
            <w:tcBorders>
              <w:top w:val="nil"/>
              <w:bottom w:val="nil"/>
            </w:tcBorders>
          </w:tcPr>
          <w:p w14:paraId="2D98B8D0" w14:textId="38EB6DB8" w:rsidR="008F1E63" w:rsidRPr="008F1E63" w:rsidRDefault="008F1E63" w:rsidP="008B5D44">
            <w:pPr>
              <w:tabs>
                <w:tab w:val="decimal" w:pos="1221"/>
              </w:tabs>
              <w:rPr>
                <w:rFonts w:ascii="Times New Roman" w:hAnsi="Times New Roman" w:cs="Times New Roman"/>
              </w:rPr>
            </w:pPr>
            <w:r w:rsidRPr="008F1E63">
              <w:rPr>
                <w:rFonts w:ascii="Times New Roman" w:hAnsi="Times New Roman" w:cs="Times New Roman"/>
              </w:rPr>
              <w:t>83</w:t>
            </w:r>
          </w:p>
        </w:tc>
      </w:tr>
      <w:tr w:rsidR="008F1E63" w:rsidRPr="00B824AA" w14:paraId="471C62DC" w14:textId="77777777" w:rsidTr="00866620">
        <w:tc>
          <w:tcPr>
            <w:tcW w:w="2551" w:type="dxa"/>
            <w:tcBorders>
              <w:top w:val="nil"/>
              <w:bottom w:val="nil"/>
            </w:tcBorders>
            <w:vAlign w:val="center"/>
          </w:tcPr>
          <w:p w14:paraId="576A8C28" w14:textId="77777777" w:rsidR="008F1E63" w:rsidRPr="00B824AA" w:rsidRDefault="008F1E63" w:rsidP="008B5D44">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2D8FCF7F" w14:textId="3ADCF666" w:rsidR="008F1E63" w:rsidRPr="008F1E63" w:rsidRDefault="008F1E63" w:rsidP="008B5D44">
            <w:pPr>
              <w:tabs>
                <w:tab w:val="decimal" w:pos="1135"/>
              </w:tabs>
              <w:rPr>
                <w:rFonts w:ascii="Times New Roman" w:hAnsi="Times New Roman" w:cs="Times New Roman"/>
              </w:rPr>
            </w:pPr>
            <w:r w:rsidRPr="008F1E63">
              <w:rPr>
                <w:rFonts w:ascii="Times New Roman" w:hAnsi="Times New Roman" w:cs="Times New Roman"/>
              </w:rPr>
              <w:t>41</w:t>
            </w:r>
          </w:p>
        </w:tc>
        <w:tc>
          <w:tcPr>
            <w:tcW w:w="2154" w:type="dxa"/>
            <w:tcBorders>
              <w:top w:val="nil"/>
              <w:bottom w:val="nil"/>
            </w:tcBorders>
          </w:tcPr>
          <w:p w14:paraId="0118035F" w14:textId="49E576A1" w:rsidR="008F1E63" w:rsidRPr="008F1E63" w:rsidRDefault="008F1E63" w:rsidP="008B5D44">
            <w:pPr>
              <w:tabs>
                <w:tab w:val="decimal" w:pos="1107"/>
              </w:tabs>
              <w:rPr>
                <w:rFonts w:ascii="Times New Roman" w:hAnsi="Times New Roman" w:cs="Times New Roman"/>
              </w:rPr>
            </w:pPr>
            <w:r w:rsidRPr="008F1E63">
              <w:rPr>
                <w:rFonts w:ascii="Times New Roman" w:hAnsi="Times New Roman" w:cs="Times New Roman"/>
              </w:rPr>
              <w:t>34</w:t>
            </w:r>
          </w:p>
        </w:tc>
        <w:tc>
          <w:tcPr>
            <w:tcW w:w="2154" w:type="dxa"/>
            <w:tcBorders>
              <w:top w:val="nil"/>
              <w:bottom w:val="nil"/>
            </w:tcBorders>
          </w:tcPr>
          <w:p w14:paraId="11460AE3" w14:textId="0304D496" w:rsidR="008F1E63" w:rsidRPr="008F1E63" w:rsidRDefault="008F1E63" w:rsidP="008B5D44">
            <w:pPr>
              <w:tabs>
                <w:tab w:val="decimal" w:pos="1221"/>
              </w:tabs>
              <w:rPr>
                <w:rFonts w:ascii="Times New Roman" w:hAnsi="Times New Roman" w:cs="Times New Roman"/>
              </w:rPr>
            </w:pPr>
            <w:r w:rsidRPr="008F1E63">
              <w:rPr>
                <w:rFonts w:ascii="Times New Roman" w:hAnsi="Times New Roman" w:cs="Times New Roman"/>
              </w:rPr>
              <w:t>99</w:t>
            </w:r>
          </w:p>
        </w:tc>
      </w:tr>
      <w:tr w:rsidR="008F1E63" w:rsidRPr="00B824AA" w14:paraId="64A5B65D" w14:textId="77777777" w:rsidTr="00866620">
        <w:tc>
          <w:tcPr>
            <w:tcW w:w="2551" w:type="dxa"/>
            <w:tcBorders>
              <w:top w:val="nil"/>
              <w:bottom w:val="nil"/>
            </w:tcBorders>
            <w:vAlign w:val="center"/>
          </w:tcPr>
          <w:p w14:paraId="18AD8A5F" w14:textId="77777777" w:rsidR="008F1E63" w:rsidRPr="00B824AA" w:rsidRDefault="008F1E63" w:rsidP="008B5D44">
            <w:pPr>
              <w:ind w:left="316"/>
              <w:rPr>
                <w:rFonts w:ascii="Times New Roman" w:hAnsi="Times New Roman" w:cs="Times New Roman"/>
              </w:rPr>
            </w:pPr>
            <w:r w:rsidRPr="00B824AA">
              <w:rPr>
                <w:rFonts w:ascii="Times New Roman" w:hAnsi="Times New Roman" w:cs="Times New Roman"/>
                <w:color w:val="000000"/>
              </w:rPr>
              <w:lastRenderedPageBreak/>
              <w:t>2021</w:t>
            </w:r>
          </w:p>
        </w:tc>
        <w:tc>
          <w:tcPr>
            <w:tcW w:w="2154" w:type="dxa"/>
            <w:tcBorders>
              <w:top w:val="nil"/>
              <w:bottom w:val="nil"/>
            </w:tcBorders>
          </w:tcPr>
          <w:p w14:paraId="54A21413" w14:textId="6B5C26A7" w:rsidR="008F1E63" w:rsidRPr="008F1E63" w:rsidRDefault="008F1E63" w:rsidP="008B5D44">
            <w:pPr>
              <w:tabs>
                <w:tab w:val="decimal" w:pos="1135"/>
              </w:tabs>
              <w:rPr>
                <w:rFonts w:ascii="Times New Roman" w:hAnsi="Times New Roman" w:cs="Times New Roman"/>
              </w:rPr>
            </w:pPr>
            <w:r w:rsidRPr="008F1E63">
              <w:rPr>
                <w:rFonts w:ascii="Times New Roman" w:hAnsi="Times New Roman" w:cs="Times New Roman"/>
              </w:rPr>
              <w:t>50</w:t>
            </w:r>
          </w:p>
        </w:tc>
        <w:tc>
          <w:tcPr>
            <w:tcW w:w="2154" w:type="dxa"/>
            <w:tcBorders>
              <w:top w:val="nil"/>
              <w:bottom w:val="nil"/>
            </w:tcBorders>
          </w:tcPr>
          <w:p w14:paraId="68E908FC" w14:textId="4943BC4C" w:rsidR="008F1E63" w:rsidRPr="008F1E63" w:rsidRDefault="008F1E63" w:rsidP="008B5D44">
            <w:pPr>
              <w:tabs>
                <w:tab w:val="decimal" w:pos="1107"/>
              </w:tabs>
              <w:rPr>
                <w:rFonts w:ascii="Times New Roman" w:hAnsi="Times New Roman" w:cs="Times New Roman"/>
              </w:rPr>
            </w:pPr>
            <w:r w:rsidRPr="008F1E63">
              <w:rPr>
                <w:rFonts w:ascii="Times New Roman" w:hAnsi="Times New Roman" w:cs="Times New Roman"/>
              </w:rPr>
              <w:t>43</w:t>
            </w:r>
          </w:p>
        </w:tc>
        <w:tc>
          <w:tcPr>
            <w:tcW w:w="2154" w:type="dxa"/>
            <w:tcBorders>
              <w:top w:val="nil"/>
              <w:bottom w:val="nil"/>
            </w:tcBorders>
          </w:tcPr>
          <w:p w14:paraId="4F0A993E" w14:textId="469B821B" w:rsidR="008F1E63" w:rsidRPr="008F1E63" w:rsidRDefault="008F1E63" w:rsidP="008B5D44">
            <w:pPr>
              <w:tabs>
                <w:tab w:val="decimal" w:pos="1221"/>
              </w:tabs>
              <w:rPr>
                <w:rFonts w:ascii="Times New Roman" w:hAnsi="Times New Roman" w:cs="Times New Roman"/>
              </w:rPr>
            </w:pPr>
            <w:r w:rsidRPr="008F1E63">
              <w:rPr>
                <w:rFonts w:ascii="Times New Roman" w:hAnsi="Times New Roman" w:cs="Times New Roman"/>
              </w:rPr>
              <w:t>94</w:t>
            </w:r>
          </w:p>
        </w:tc>
      </w:tr>
      <w:tr w:rsidR="008F1E63" w:rsidRPr="00B824AA" w14:paraId="1A4B1480" w14:textId="77777777" w:rsidTr="00866620">
        <w:tc>
          <w:tcPr>
            <w:tcW w:w="2551" w:type="dxa"/>
            <w:tcBorders>
              <w:top w:val="nil"/>
              <w:bottom w:val="nil"/>
            </w:tcBorders>
            <w:vAlign w:val="center"/>
          </w:tcPr>
          <w:p w14:paraId="166F48BF" w14:textId="4D5E339D" w:rsidR="008F1E63" w:rsidRPr="00B824AA" w:rsidRDefault="008F1E63" w:rsidP="008B5D44">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46468A99" w14:textId="56DB1F1F" w:rsidR="008F1E63" w:rsidRPr="008F1E63" w:rsidRDefault="008F1E63" w:rsidP="008B5D44">
            <w:pPr>
              <w:tabs>
                <w:tab w:val="decimal" w:pos="1135"/>
              </w:tabs>
              <w:rPr>
                <w:rFonts w:ascii="Times New Roman" w:hAnsi="Times New Roman" w:cs="Times New Roman"/>
                <w:color w:val="000000"/>
              </w:rPr>
            </w:pPr>
            <w:r w:rsidRPr="008F1E63">
              <w:rPr>
                <w:rFonts w:ascii="Times New Roman" w:hAnsi="Times New Roman" w:cs="Times New Roman"/>
              </w:rPr>
              <w:t>57</w:t>
            </w:r>
          </w:p>
        </w:tc>
        <w:tc>
          <w:tcPr>
            <w:tcW w:w="2154" w:type="dxa"/>
            <w:tcBorders>
              <w:top w:val="nil"/>
              <w:bottom w:val="nil"/>
            </w:tcBorders>
          </w:tcPr>
          <w:p w14:paraId="1B3FE6CD" w14:textId="2F45D5E2" w:rsidR="008F1E63" w:rsidRPr="008F1E63" w:rsidRDefault="008F1E63" w:rsidP="008B5D44">
            <w:pPr>
              <w:tabs>
                <w:tab w:val="decimal" w:pos="1107"/>
              </w:tabs>
              <w:rPr>
                <w:rFonts w:ascii="Times New Roman" w:hAnsi="Times New Roman" w:cs="Times New Roman"/>
                <w:color w:val="000000"/>
              </w:rPr>
            </w:pPr>
            <w:r w:rsidRPr="008F1E63">
              <w:rPr>
                <w:rFonts w:ascii="Times New Roman" w:hAnsi="Times New Roman" w:cs="Times New Roman"/>
              </w:rPr>
              <w:t>50</w:t>
            </w:r>
          </w:p>
        </w:tc>
        <w:tc>
          <w:tcPr>
            <w:tcW w:w="2154" w:type="dxa"/>
            <w:tcBorders>
              <w:top w:val="nil"/>
              <w:bottom w:val="nil"/>
            </w:tcBorders>
          </w:tcPr>
          <w:p w14:paraId="7D860A6E" w14:textId="252B0EFA" w:rsidR="008F1E63" w:rsidRPr="008F1E63" w:rsidRDefault="008F1E63" w:rsidP="008B5D44">
            <w:pPr>
              <w:tabs>
                <w:tab w:val="decimal" w:pos="1221"/>
              </w:tabs>
              <w:rPr>
                <w:rFonts w:ascii="Times New Roman" w:hAnsi="Times New Roman" w:cs="Times New Roman"/>
                <w:color w:val="000000"/>
              </w:rPr>
            </w:pPr>
            <w:r w:rsidRPr="008F1E63">
              <w:rPr>
                <w:rFonts w:ascii="Times New Roman" w:hAnsi="Times New Roman" w:cs="Times New Roman"/>
              </w:rPr>
              <w:t>78</w:t>
            </w:r>
          </w:p>
        </w:tc>
      </w:tr>
      <w:tr w:rsidR="00CA4175" w:rsidRPr="00B824AA" w14:paraId="3A169A61" w14:textId="77777777" w:rsidTr="00B41C82">
        <w:tc>
          <w:tcPr>
            <w:tcW w:w="2551" w:type="dxa"/>
            <w:tcBorders>
              <w:top w:val="nil"/>
              <w:bottom w:val="nil"/>
            </w:tcBorders>
          </w:tcPr>
          <w:p w14:paraId="182F3445" w14:textId="77777777" w:rsidR="00B41C82" w:rsidRPr="00B824AA" w:rsidRDefault="00B41C82" w:rsidP="00CC3BD8">
            <w:pPr>
              <w:ind w:left="316"/>
              <w:rPr>
                <w:rFonts w:ascii="Times New Roman" w:hAnsi="Times New Roman" w:cs="Times New Roman"/>
                <w:color w:val="000000"/>
              </w:rPr>
            </w:pPr>
          </w:p>
          <w:p w14:paraId="27096056" w14:textId="4451FBA1" w:rsidR="00CA4175" w:rsidRPr="00B824AA" w:rsidRDefault="00CA4175" w:rsidP="00CC3BD8">
            <w:pPr>
              <w:ind w:left="316"/>
              <w:rPr>
                <w:rFonts w:ascii="Times New Roman" w:hAnsi="Times New Roman" w:cs="Times New Roman"/>
              </w:rPr>
            </w:pPr>
            <w:r w:rsidRPr="00B824AA">
              <w:rPr>
                <w:rFonts w:ascii="Times New Roman" w:hAnsi="Times New Roman" w:cs="Times New Roman"/>
                <w:color w:val="000000"/>
              </w:rPr>
              <w:t xml:space="preserve">Wykształcenie wyższe </w:t>
            </w:r>
          </w:p>
        </w:tc>
        <w:tc>
          <w:tcPr>
            <w:tcW w:w="2154" w:type="dxa"/>
            <w:tcBorders>
              <w:top w:val="nil"/>
              <w:bottom w:val="nil"/>
            </w:tcBorders>
          </w:tcPr>
          <w:p w14:paraId="2DC18D46" w14:textId="77777777" w:rsidR="00CA4175" w:rsidRPr="00B824AA" w:rsidRDefault="00CA4175" w:rsidP="00CC3BD8">
            <w:pPr>
              <w:tabs>
                <w:tab w:val="decimal" w:pos="1135"/>
              </w:tabs>
              <w:rPr>
                <w:rFonts w:ascii="Times New Roman" w:hAnsi="Times New Roman" w:cs="Times New Roman"/>
              </w:rPr>
            </w:pPr>
          </w:p>
        </w:tc>
        <w:tc>
          <w:tcPr>
            <w:tcW w:w="2154" w:type="dxa"/>
            <w:tcBorders>
              <w:top w:val="nil"/>
              <w:bottom w:val="nil"/>
            </w:tcBorders>
          </w:tcPr>
          <w:p w14:paraId="75557B96" w14:textId="77777777" w:rsidR="00CA4175" w:rsidRPr="00B824AA" w:rsidRDefault="00CA4175" w:rsidP="00CC3BD8">
            <w:pPr>
              <w:tabs>
                <w:tab w:val="decimal" w:pos="1107"/>
              </w:tabs>
              <w:rPr>
                <w:rFonts w:ascii="Times New Roman" w:hAnsi="Times New Roman" w:cs="Times New Roman"/>
              </w:rPr>
            </w:pPr>
          </w:p>
        </w:tc>
        <w:tc>
          <w:tcPr>
            <w:tcW w:w="2154" w:type="dxa"/>
            <w:tcBorders>
              <w:top w:val="nil"/>
              <w:bottom w:val="nil"/>
            </w:tcBorders>
          </w:tcPr>
          <w:p w14:paraId="6B731C6E" w14:textId="77777777" w:rsidR="00CA4175" w:rsidRPr="00B824AA" w:rsidRDefault="00CA4175" w:rsidP="00CC3BD8">
            <w:pPr>
              <w:tabs>
                <w:tab w:val="decimal" w:pos="1221"/>
              </w:tabs>
              <w:rPr>
                <w:rFonts w:ascii="Times New Roman" w:hAnsi="Times New Roman" w:cs="Times New Roman"/>
              </w:rPr>
            </w:pPr>
          </w:p>
        </w:tc>
      </w:tr>
      <w:tr w:rsidR="009F2562" w:rsidRPr="00B824AA" w14:paraId="3B813C79" w14:textId="77777777" w:rsidTr="00F60754">
        <w:tc>
          <w:tcPr>
            <w:tcW w:w="2551" w:type="dxa"/>
            <w:tcBorders>
              <w:top w:val="nil"/>
              <w:bottom w:val="nil"/>
            </w:tcBorders>
          </w:tcPr>
          <w:p w14:paraId="102D3CCE"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32825BD7" w14:textId="585F444B" w:rsidR="009F2562" w:rsidRPr="00B824AA" w:rsidRDefault="009F2562" w:rsidP="009F2562">
            <w:pPr>
              <w:tabs>
                <w:tab w:val="decimal" w:pos="1135"/>
              </w:tabs>
              <w:rPr>
                <w:rFonts w:ascii="Times New Roman" w:hAnsi="Times New Roman" w:cs="Times New Roman"/>
              </w:rPr>
            </w:pPr>
            <w:r w:rsidRPr="00E00DFA">
              <w:rPr>
                <w:rFonts w:ascii="Times New Roman" w:hAnsi="Times New Roman" w:cs="Times New Roman"/>
              </w:rPr>
              <w:t>107</w:t>
            </w:r>
          </w:p>
        </w:tc>
        <w:tc>
          <w:tcPr>
            <w:tcW w:w="2154" w:type="dxa"/>
            <w:tcBorders>
              <w:top w:val="nil"/>
              <w:bottom w:val="nil"/>
            </w:tcBorders>
          </w:tcPr>
          <w:p w14:paraId="4E0A1900" w14:textId="59CBC491" w:rsidR="009F2562" w:rsidRPr="00B824AA" w:rsidRDefault="009F2562" w:rsidP="009F2562">
            <w:pPr>
              <w:tabs>
                <w:tab w:val="decimal" w:pos="1107"/>
              </w:tabs>
              <w:rPr>
                <w:rFonts w:ascii="Times New Roman" w:hAnsi="Times New Roman" w:cs="Times New Roman"/>
              </w:rPr>
            </w:pPr>
            <w:r w:rsidRPr="00E00DFA">
              <w:rPr>
                <w:rFonts w:ascii="Times New Roman" w:hAnsi="Times New Roman" w:cs="Times New Roman"/>
              </w:rPr>
              <w:t>101</w:t>
            </w:r>
          </w:p>
        </w:tc>
        <w:tc>
          <w:tcPr>
            <w:tcW w:w="2154" w:type="dxa"/>
            <w:tcBorders>
              <w:top w:val="nil"/>
              <w:bottom w:val="nil"/>
            </w:tcBorders>
          </w:tcPr>
          <w:p w14:paraId="746E034B" w14:textId="7940C7EA" w:rsidR="009F2562" w:rsidRPr="00B824AA" w:rsidRDefault="009F2562" w:rsidP="009F2562">
            <w:pPr>
              <w:tabs>
                <w:tab w:val="decimal" w:pos="1221"/>
              </w:tabs>
              <w:rPr>
                <w:rFonts w:ascii="Times New Roman" w:hAnsi="Times New Roman" w:cs="Times New Roman"/>
              </w:rPr>
            </w:pPr>
            <w:r w:rsidRPr="00E00DFA">
              <w:rPr>
                <w:rFonts w:ascii="Times New Roman" w:hAnsi="Times New Roman" w:cs="Times New Roman"/>
              </w:rPr>
              <w:t>124</w:t>
            </w:r>
          </w:p>
        </w:tc>
      </w:tr>
      <w:tr w:rsidR="009F2562" w:rsidRPr="00B824AA" w14:paraId="0E15ACA7" w14:textId="77777777" w:rsidTr="00866620">
        <w:tc>
          <w:tcPr>
            <w:tcW w:w="2551" w:type="dxa"/>
            <w:tcBorders>
              <w:top w:val="nil"/>
              <w:bottom w:val="nil"/>
            </w:tcBorders>
          </w:tcPr>
          <w:p w14:paraId="67F9BAE8"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72844506" w14:textId="454242A9" w:rsidR="009F2562" w:rsidRPr="00E00DFA" w:rsidRDefault="009F2562" w:rsidP="009F2562">
            <w:pPr>
              <w:tabs>
                <w:tab w:val="decimal" w:pos="1135"/>
              </w:tabs>
              <w:rPr>
                <w:rFonts w:ascii="Times New Roman" w:hAnsi="Times New Roman" w:cs="Times New Roman"/>
              </w:rPr>
            </w:pPr>
            <w:r w:rsidRPr="00E00DFA">
              <w:rPr>
                <w:rFonts w:ascii="Times New Roman" w:hAnsi="Times New Roman" w:cs="Times New Roman"/>
              </w:rPr>
              <w:t>116</w:t>
            </w:r>
          </w:p>
        </w:tc>
        <w:tc>
          <w:tcPr>
            <w:tcW w:w="2154" w:type="dxa"/>
            <w:tcBorders>
              <w:top w:val="nil"/>
              <w:bottom w:val="nil"/>
            </w:tcBorders>
          </w:tcPr>
          <w:p w14:paraId="5758E2DA" w14:textId="1A04218B" w:rsidR="009F2562" w:rsidRPr="00E00DFA" w:rsidRDefault="009F2562" w:rsidP="009F2562">
            <w:pPr>
              <w:tabs>
                <w:tab w:val="decimal" w:pos="1107"/>
              </w:tabs>
              <w:rPr>
                <w:rFonts w:ascii="Times New Roman" w:hAnsi="Times New Roman" w:cs="Times New Roman"/>
              </w:rPr>
            </w:pPr>
            <w:r w:rsidRPr="00E00DFA">
              <w:rPr>
                <w:rFonts w:ascii="Times New Roman" w:hAnsi="Times New Roman" w:cs="Times New Roman"/>
              </w:rPr>
              <w:t>115</w:t>
            </w:r>
          </w:p>
        </w:tc>
        <w:tc>
          <w:tcPr>
            <w:tcW w:w="2154" w:type="dxa"/>
            <w:tcBorders>
              <w:top w:val="nil"/>
              <w:bottom w:val="nil"/>
            </w:tcBorders>
          </w:tcPr>
          <w:p w14:paraId="08039FCA" w14:textId="2B87844D" w:rsidR="009F2562" w:rsidRPr="00E00DFA" w:rsidRDefault="009F2562" w:rsidP="009F2562">
            <w:pPr>
              <w:tabs>
                <w:tab w:val="decimal" w:pos="1221"/>
              </w:tabs>
              <w:rPr>
                <w:rFonts w:ascii="Times New Roman" w:hAnsi="Times New Roman" w:cs="Times New Roman"/>
              </w:rPr>
            </w:pPr>
            <w:r w:rsidRPr="00E00DFA">
              <w:rPr>
                <w:rFonts w:ascii="Times New Roman" w:hAnsi="Times New Roman" w:cs="Times New Roman"/>
              </w:rPr>
              <w:t>119</w:t>
            </w:r>
          </w:p>
        </w:tc>
      </w:tr>
      <w:tr w:rsidR="009F2562" w:rsidRPr="00B824AA" w14:paraId="5C711552" w14:textId="77777777" w:rsidTr="009F2562">
        <w:trPr>
          <w:trHeight w:val="80"/>
        </w:trPr>
        <w:tc>
          <w:tcPr>
            <w:tcW w:w="2551" w:type="dxa"/>
            <w:tcBorders>
              <w:top w:val="nil"/>
              <w:bottom w:val="nil"/>
            </w:tcBorders>
          </w:tcPr>
          <w:p w14:paraId="708D32D8"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73E480CD" w14:textId="08EB374C" w:rsidR="009F2562" w:rsidRPr="00E00DFA" w:rsidRDefault="009F2562" w:rsidP="009F2562">
            <w:pPr>
              <w:tabs>
                <w:tab w:val="decimal" w:pos="1135"/>
              </w:tabs>
              <w:rPr>
                <w:rFonts w:ascii="Times New Roman" w:hAnsi="Times New Roman" w:cs="Times New Roman"/>
              </w:rPr>
            </w:pPr>
            <w:r w:rsidRPr="00E00DFA">
              <w:rPr>
                <w:rFonts w:ascii="Times New Roman" w:hAnsi="Times New Roman" w:cs="Times New Roman"/>
              </w:rPr>
              <w:t>114</w:t>
            </w:r>
          </w:p>
        </w:tc>
        <w:tc>
          <w:tcPr>
            <w:tcW w:w="2154" w:type="dxa"/>
            <w:tcBorders>
              <w:top w:val="nil"/>
              <w:bottom w:val="nil"/>
            </w:tcBorders>
          </w:tcPr>
          <w:p w14:paraId="202E2DE3" w14:textId="42B5105D" w:rsidR="009F2562" w:rsidRPr="00E00DFA" w:rsidRDefault="009F2562" w:rsidP="009F2562">
            <w:pPr>
              <w:tabs>
                <w:tab w:val="decimal" w:pos="1107"/>
              </w:tabs>
              <w:rPr>
                <w:rFonts w:ascii="Times New Roman" w:hAnsi="Times New Roman" w:cs="Times New Roman"/>
              </w:rPr>
            </w:pPr>
            <w:r w:rsidRPr="00E00DFA">
              <w:rPr>
                <w:rFonts w:ascii="Times New Roman" w:hAnsi="Times New Roman" w:cs="Times New Roman"/>
              </w:rPr>
              <w:t>113</w:t>
            </w:r>
          </w:p>
        </w:tc>
        <w:tc>
          <w:tcPr>
            <w:tcW w:w="2154" w:type="dxa"/>
            <w:tcBorders>
              <w:top w:val="nil"/>
              <w:bottom w:val="nil"/>
            </w:tcBorders>
          </w:tcPr>
          <w:p w14:paraId="26A32938" w14:textId="37418AA4" w:rsidR="009F2562" w:rsidRPr="00E00DFA" w:rsidRDefault="009F2562" w:rsidP="009F2562">
            <w:pPr>
              <w:tabs>
                <w:tab w:val="decimal" w:pos="1221"/>
              </w:tabs>
              <w:rPr>
                <w:rFonts w:ascii="Times New Roman" w:hAnsi="Times New Roman" w:cs="Times New Roman"/>
              </w:rPr>
            </w:pPr>
            <w:r w:rsidRPr="00E00DFA">
              <w:rPr>
                <w:rFonts w:ascii="Times New Roman" w:hAnsi="Times New Roman" w:cs="Times New Roman"/>
              </w:rPr>
              <w:t>119</w:t>
            </w:r>
          </w:p>
        </w:tc>
      </w:tr>
      <w:tr w:rsidR="009F2562" w:rsidRPr="00B824AA" w14:paraId="18C9271B" w14:textId="77777777" w:rsidTr="00866620">
        <w:tc>
          <w:tcPr>
            <w:tcW w:w="2551" w:type="dxa"/>
            <w:tcBorders>
              <w:top w:val="nil"/>
              <w:bottom w:val="nil"/>
            </w:tcBorders>
            <w:vAlign w:val="center"/>
          </w:tcPr>
          <w:p w14:paraId="65F4FA4E"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023367DE" w14:textId="68707AA9" w:rsidR="009F2562" w:rsidRPr="00E00DFA" w:rsidRDefault="009F2562" w:rsidP="009F2562">
            <w:pPr>
              <w:tabs>
                <w:tab w:val="decimal" w:pos="1135"/>
              </w:tabs>
              <w:rPr>
                <w:rFonts w:ascii="Times New Roman" w:hAnsi="Times New Roman" w:cs="Times New Roman"/>
              </w:rPr>
            </w:pPr>
            <w:r w:rsidRPr="00E00DFA">
              <w:rPr>
                <w:rFonts w:ascii="Times New Roman" w:hAnsi="Times New Roman" w:cs="Times New Roman"/>
              </w:rPr>
              <w:t>109</w:t>
            </w:r>
          </w:p>
        </w:tc>
        <w:tc>
          <w:tcPr>
            <w:tcW w:w="2154" w:type="dxa"/>
            <w:tcBorders>
              <w:top w:val="nil"/>
              <w:bottom w:val="nil"/>
            </w:tcBorders>
          </w:tcPr>
          <w:p w14:paraId="092467D9" w14:textId="3E1E915E" w:rsidR="009F2562" w:rsidRPr="00E00DFA" w:rsidRDefault="009F2562" w:rsidP="009F2562">
            <w:pPr>
              <w:tabs>
                <w:tab w:val="decimal" w:pos="1107"/>
              </w:tabs>
              <w:rPr>
                <w:rFonts w:ascii="Times New Roman" w:hAnsi="Times New Roman" w:cs="Times New Roman"/>
              </w:rPr>
            </w:pPr>
            <w:r w:rsidRPr="00E00DFA">
              <w:rPr>
                <w:rFonts w:ascii="Times New Roman" w:hAnsi="Times New Roman" w:cs="Times New Roman"/>
              </w:rPr>
              <w:t>107</w:t>
            </w:r>
          </w:p>
        </w:tc>
        <w:tc>
          <w:tcPr>
            <w:tcW w:w="2154" w:type="dxa"/>
            <w:tcBorders>
              <w:top w:val="nil"/>
              <w:bottom w:val="nil"/>
            </w:tcBorders>
          </w:tcPr>
          <w:p w14:paraId="54B0AC27" w14:textId="35BB932C" w:rsidR="009F2562" w:rsidRPr="00E00DFA" w:rsidRDefault="009F2562" w:rsidP="009F2562">
            <w:pPr>
              <w:tabs>
                <w:tab w:val="decimal" w:pos="1221"/>
              </w:tabs>
              <w:rPr>
                <w:rFonts w:ascii="Times New Roman" w:hAnsi="Times New Roman" w:cs="Times New Roman"/>
              </w:rPr>
            </w:pPr>
            <w:r w:rsidRPr="00E00DFA">
              <w:rPr>
                <w:rFonts w:ascii="Times New Roman" w:hAnsi="Times New Roman" w:cs="Times New Roman"/>
              </w:rPr>
              <w:t>117</w:t>
            </w:r>
          </w:p>
        </w:tc>
      </w:tr>
      <w:tr w:rsidR="009F2562" w:rsidRPr="00B824AA" w14:paraId="2124AE46" w14:textId="77777777" w:rsidTr="00866620">
        <w:tc>
          <w:tcPr>
            <w:tcW w:w="2551" w:type="dxa"/>
            <w:tcBorders>
              <w:top w:val="nil"/>
              <w:bottom w:val="nil"/>
            </w:tcBorders>
            <w:vAlign w:val="center"/>
          </w:tcPr>
          <w:p w14:paraId="6408466C" w14:textId="173E737F" w:rsidR="009F2562" w:rsidRPr="00B824AA" w:rsidRDefault="009F2562" w:rsidP="009F25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2C8279C6" w14:textId="7809D885" w:rsidR="009F2562" w:rsidRPr="00E00DFA" w:rsidRDefault="009F2562" w:rsidP="009F2562">
            <w:pPr>
              <w:tabs>
                <w:tab w:val="decimal" w:pos="1135"/>
              </w:tabs>
              <w:rPr>
                <w:rFonts w:ascii="Times New Roman" w:hAnsi="Times New Roman" w:cs="Times New Roman"/>
                <w:color w:val="000000"/>
              </w:rPr>
            </w:pPr>
            <w:r w:rsidRPr="00E00DFA">
              <w:rPr>
                <w:rFonts w:ascii="Times New Roman" w:hAnsi="Times New Roman" w:cs="Times New Roman"/>
              </w:rPr>
              <w:t>112</w:t>
            </w:r>
          </w:p>
        </w:tc>
        <w:tc>
          <w:tcPr>
            <w:tcW w:w="2154" w:type="dxa"/>
            <w:tcBorders>
              <w:top w:val="nil"/>
              <w:bottom w:val="nil"/>
            </w:tcBorders>
          </w:tcPr>
          <w:p w14:paraId="248660EC" w14:textId="2CC468D8" w:rsidR="009F2562" w:rsidRPr="00E00DFA" w:rsidRDefault="009F2562" w:rsidP="009F2562">
            <w:pPr>
              <w:tabs>
                <w:tab w:val="decimal" w:pos="1107"/>
              </w:tabs>
              <w:rPr>
                <w:rFonts w:ascii="Times New Roman" w:hAnsi="Times New Roman" w:cs="Times New Roman"/>
                <w:color w:val="000000"/>
              </w:rPr>
            </w:pPr>
            <w:r w:rsidRPr="00E00DFA">
              <w:rPr>
                <w:rFonts w:ascii="Times New Roman" w:hAnsi="Times New Roman" w:cs="Times New Roman"/>
              </w:rPr>
              <w:t>109</w:t>
            </w:r>
          </w:p>
        </w:tc>
        <w:tc>
          <w:tcPr>
            <w:tcW w:w="2154" w:type="dxa"/>
            <w:tcBorders>
              <w:top w:val="nil"/>
              <w:bottom w:val="nil"/>
            </w:tcBorders>
          </w:tcPr>
          <w:p w14:paraId="5240F5DB" w14:textId="05F6EA22" w:rsidR="009F2562" w:rsidRPr="00E00DFA" w:rsidRDefault="009F2562" w:rsidP="009F2562">
            <w:pPr>
              <w:tabs>
                <w:tab w:val="decimal" w:pos="1221"/>
              </w:tabs>
              <w:rPr>
                <w:rFonts w:ascii="Times New Roman" w:hAnsi="Times New Roman" w:cs="Times New Roman"/>
                <w:color w:val="000000"/>
              </w:rPr>
            </w:pPr>
            <w:r w:rsidRPr="00E00DFA">
              <w:rPr>
                <w:rFonts w:ascii="Times New Roman" w:hAnsi="Times New Roman" w:cs="Times New Roman"/>
              </w:rPr>
              <w:t>119</w:t>
            </w:r>
          </w:p>
        </w:tc>
      </w:tr>
      <w:tr w:rsidR="009F2562" w:rsidRPr="00B824AA" w14:paraId="0EFE91B3" w14:textId="77777777" w:rsidTr="00B41C82">
        <w:tc>
          <w:tcPr>
            <w:tcW w:w="2551" w:type="dxa"/>
            <w:tcBorders>
              <w:top w:val="nil"/>
              <w:bottom w:val="nil"/>
            </w:tcBorders>
          </w:tcPr>
          <w:p w14:paraId="105F9044" w14:textId="77777777" w:rsidR="009F2562" w:rsidRDefault="009F2562" w:rsidP="009F2562">
            <w:pPr>
              <w:rPr>
                <w:rFonts w:ascii="Times New Roman" w:hAnsi="Times New Roman" w:cs="Times New Roman"/>
              </w:rPr>
            </w:pPr>
          </w:p>
          <w:p w14:paraId="794BCBAB" w14:textId="67D5CE7D" w:rsidR="009F2562" w:rsidRPr="00B824AA" w:rsidRDefault="009F2562" w:rsidP="009F2562">
            <w:pPr>
              <w:ind w:left="316"/>
              <w:rPr>
                <w:rFonts w:ascii="Times New Roman" w:hAnsi="Times New Roman" w:cs="Times New Roman"/>
              </w:rPr>
            </w:pPr>
            <w:r w:rsidRPr="00B824AA">
              <w:rPr>
                <w:rFonts w:ascii="Times New Roman" w:hAnsi="Times New Roman" w:cs="Times New Roman"/>
              </w:rPr>
              <w:t>Wcześnie opuszczający edukację</w:t>
            </w:r>
          </w:p>
        </w:tc>
        <w:tc>
          <w:tcPr>
            <w:tcW w:w="2154" w:type="dxa"/>
            <w:tcBorders>
              <w:top w:val="nil"/>
              <w:bottom w:val="nil"/>
            </w:tcBorders>
          </w:tcPr>
          <w:p w14:paraId="6BD15A00" w14:textId="1D01098B" w:rsidR="009F2562" w:rsidRPr="00E00DFA" w:rsidRDefault="009F2562" w:rsidP="009F2562">
            <w:pPr>
              <w:tabs>
                <w:tab w:val="decimal" w:pos="1135"/>
              </w:tabs>
              <w:rPr>
                <w:rFonts w:ascii="Times New Roman" w:hAnsi="Times New Roman" w:cs="Times New Roman"/>
              </w:rPr>
            </w:pPr>
          </w:p>
        </w:tc>
        <w:tc>
          <w:tcPr>
            <w:tcW w:w="2154" w:type="dxa"/>
            <w:tcBorders>
              <w:top w:val="nil"/>
              <w:bottom w:val="nil"/>
            </w:tcBorders>
          </w:tcPr>
          <w:p w14:paraId="5976AE01" w14:textId="2D7C84D7" w:rsidR="009F2562" w:rsidRPr="00E00DFA" w:rsidRDefault="009F2562" w:rsidP="009F2562">
            <w:pPr>
              <w:tabs>
                <w:tab w:val="decimal" w:pos="1107"/>
              </w:tabs>
              <w:rPr>
                <w:rFonts w:ascii="Times New Roman" w:hAnsi="Times New Roman" w:cs="Times New Roman"/>
              </w:rPr>
            </w:pPr>
          </w:p>
        </w:tc>
        <w:tc>
          <w:tcPr>
            <w:tcW w:w="2154" w:type="dxa"/>
            <w:tcBorders>
              <w:top w:val="nil"/>
              <w:bottom w:val="nil"/>
            </w:tcBorders>
          </w:tcPr>
          <w:p w14:paraId="38FE4DE1" w14:textId="6736698F" w:rsidR="009F2562" w:rsidRPr="00E00DFA" w:rsidRDefault="009F2562" w:rsidP="009F2562">
            <w:pPr>
              <w:tabs>
                <w:tab w:val="decimal" w:pos="1221"/>
              </w:tabs>
              <w:rPr>
                <w:rFonts w:ascii="Times New Roman" w:hAnsi="Times New Roman" w:cs="Times New Roman"/>
              </w:rPr>
            </w:pPr>
          </w:p>
        </w:tc>
      </w:tr>
      <w:tr w:rsidR="009F2562" w:rsidRPr="00B824AA" w14:paraId="4F51C422" w14:textId="77777777" w:rsidTr="00866620">
        <w:tc>
          <w:tcPr>
            <w:tcW w:w="2551" w:type="dxa"/>
            <w:tcBorders>
              <w:top w:val="nil"/>
              <w:bottom w:val="nil"/>
            </w:tcBorders>
          </w:tcPr>
          <w:p w14:paraId="57283527"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3C8BEAB1" w14:textId="6D1E7414" w:rsidR="009F2562" w:rsidRPr="00FB0031" w:rsidRDefault="009F2562" w:rsidP="009F2562">
            <w:pPr>
              <w:tabs>
                <w:tab w:val="decimal" w:pos="1135"/>
              </w:tabs>
              <w:rPr>
                <w:rFonts w:ascii="Times New Roman" w:hAnsi="Times New Roman" w:cs="Times New Roman"/>
              </w:rPr>
            </w:pPr>
            <w:r w:rsidRPr="00FB0031">
              <w:rPr>
                <w:rFonts w:ascii="Times New Roman" w:hAnsi="Times New Roman" w:cs="Times New Roman"/>
              </w:rPr>
              <w:t>199</w:t>
            </w:r>
          </w:p>
        </w:tc>
        <w:tc>
          <w:tcPr>
            <w:tcW w:w="2154" w:type="dxa"/>
            <w:tcBorders>
              <w:top w:val="nil"/>
              <w:bottom w:val="nil"/>
            </w:tcBorders>
          </w:tcPr>
          <w:p w14:paraId="5EB753C1" w14:textId="44582531" w:rsidR="009F2562" w:rsidRPr="00FB0031" w:rsidRDefault="009F2562" w:rsidP="009F2562">
            <w:pPr>
              <w:tabs>
                <w:tab w:val="decimal" w:pos="1107"/>
              </w:tabs>
              <w:rPr>
                <w:rFonts w:ascii="Times New Roman" w:hAnsi="Times New Roman" w:cs="Times New Roman"/>
              </w:rPr>
            </w:pPr>
            <w:r w:rsidRPr="00FB0031">
              <w:rPr>
                <w:rFonts w:ascii="Times New Roman" w:hAnsi="Times New Roman" w:cs="Times New Roman"/>
              </w:rPr>
              <w:t>248</w:t>
            </w:r>
          </w:p>
        </w:tc>
        <w:tc>
          <w:tcPr>
            <w:tcW w:w="2154" w:type="dxa"/>
            <w:tcBorders>
              <w:top w:val="nil"/>
              <w:bottom w:val="nil"/>
            </w:tcBorders>
          </w:tcPr>
          <w:p w14:paraId="3A14E995" w14:textId="0497A14C" w:rsidR="009F2562" w:rsidRPr="00FB0031" w:rsidRDefault="009F2562" w:rsidP="009F2562">
            <w:pPr>
              <w:tabs>
                <w:tab w:val="decimal" w:pos="1221"/>
              </w:tabs>
              <w:rPr>
                <w:rFonts w:ascii="Times New Roman" w:hAnsi="Times New Roman" w:cs="Times New Roman"/>
              </w:rPr>
            </w:pPr>
            <w:r w:rsidRPr="00FB0031">
              <w:rPr>
                <w:rFonts w:ascii="Times New Roman" w:hAnsi="Times New Roman" w:cs="Times New Roman"/>
              </w:rPr>
              <w:t>130</w:t>
            </w:r>
          </w:p>
        </w:tc>
      </w:tr>
      <w:tr w:rsidR="009F2562" w:rsidRPr="00B824AA" w14:paraId="408864DD" w14:textId="77777777" w:rsidTr="00866620">
        <w:tc>
          <w:tcPr>
            <w:tcW w:w="2551" w:type="dxa"/>
            <w:tcBorders>
              <w:top w:val="nil"/>
              <w:bottom w:val="nil"/>
            </w:tcBorders>
          </w:tcPr>
          <w:p w14:paraId="0EDE1F60"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7A66633D" w14:textId="2F5EE19C" w:rsidR="009F2562" w:rsidRPr="00FB0031" w:rsidRDefault="009F2562" w:rsidP="009F2562">
            <w:pPr>
              <w:tabs>
                <w:tab w:val="decimal" w:pos="1135"/>
              </w:tabs>
              <w:rPr>
                <w:rFonts w:ascii="Times New Roman" w:hAnsi="Times New Roman" w:cs="Times New Roman"/>
              </w:rPr>
            </w:pPr>
            <w:r w:rsidRPr="00FB0031">
              <w:rPr>
                <w:rFonts w:ascii="Times New Roman" w:hAnsi="Times New Roman" w:cs="Times New Roman"/>
              </w:rPr>
              <w:t>174</w:t>
            </w:r>
          </w:p>
        </w:tc>
        <w:tc>
          <w:tcPr>
            <w:tcW w:w="2154" w:type="dxa"/>
            <w:tcBorders>
              <w:top w:val="nil"/>
              <w:bottom w:val="nil"/>
            </w:tcBorders>
          </w:tcPr>
          <w:p w14:paraId="44FA124C" w14:textId="71C0EDF2" w:rsidR="009F2562" w:rsidRPr="00FB0031" w:rsidRDefault="009F2562" w:rsidP="009F2562">
            <w:pPr>
              <w:tabs>
                <w:tab w:val="decimal" w:pos="1107"/>
              </w:tabs>
              <w:rPr>
                <w:rFonts w:ascii="Times New Roman" w:hAnsi="Times New Roman" w:cs="Times New Roman"/>
              </w:rPr>
            </w:pPr>
            <w:r w:rsidRPr="00FB0031">
              <w:rPr>
                <w:rFonts w:ascii="Times New Roman" w:hAnsi="Times New Roman" w:cs="Times New Roman"/>
              </w:rPr>
              <w:t>198</w:t>
            </w:r>
          </w:p>
        </w:tc>
        <w:tc>
          <w:tcPr>
            <w:tcW w:w="2154" w:type="dxa"/>
            <w:tcBorders>
              <w:top w:val="nil"/>
              <w:bottom w:val="nil"/>
            </w:tcBorders>
          </w:tcPr>
          <w:p w14:paraId="489CC041" w14:textId="5A85A77B" w:rsidR="009F2562" w:rsidRPr="00FB0031" w:rsidRDefault="009F2562" w:rsidP="009F2562">
            <w:pPr>
              <w:tabs>
                <w:tab w:val="decimal" w:pos="1221"/>
              </w:tabs>
              <w:rPr>
                <w:rFonts w:ascii="Times New Roman" w:hAnsi="Times New Roman" w:cs="Times New Roman"/>
              </w:rPr>
            </w:pPr>
            <w:r w:rsidRPr="00FB0031">
              <w:rPr>
                <w:rFonts w:ascii="Times New Roman" w:hAnsi="Times New Roman" w:cs="Times New Roman"/>
              </w:rPr>
              <w:t>129</w:t>
            </w:r>
          </w:p>
        </w:tc>
      </w:tr>
      <w:tr w:rsidR="009F2562" w:rsidRPr="00B824AA" w14:paraId="4026E3CC" w14:textId="77777777" w:rsidTr="00866620">
        <w:tc>
          <w:tcPr>
            <w:tcW w:w="2551" w:type="dxa"/>
            <w:tcBorders>
              <w:top w:val="nil"/>
              <w:bottom w:val="nil"/>
            </w:tcBorders>
          </w:tcPr>
          <w:p w14:paraId="4B9257AA"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4839E561" w14:textId="731E4534" w:rsidR="009F2562" w:rsidRPr="00FB0031" w:rsidRDefault="009F2562" w:rsidP="009F2562">
            <w:pPr>
              <w:tabs>
                <w:tab w:val="decimal" w:pos="1135"/>
              </w:tabs>
              <w:rPr>
                <w:rFonts w:ascii="Times New Roman" w:hAnsi="Times New Roman" w:cs="Times New Roman"/>
              </w:rPr>
            </w:pPr>
            <w:r w:rsidRPr="00FB0031">
              <w:rPr>
                <w:rFonts w:ascii="Times New Roman" w:hAnsi="Times New Roman" w:cs="Times New Roman"/>
              </w:rPr>
              <w:t>158</w:t>
            </w:r>
          </w:p>
        </w:tc>
        <w:tc>
          <w:tcPr>
            <w:tcW w:w="2154" w:type="dxa"/>
            <w:tcBorders>
              <w:top w:val="nil"/>
              <w:bottom w:val="nil"/>
            </w:tcBorders>
          </w:tcPr>
          <w:p w14:paraId="7021A529" w14:textId="39FA69FE" w:rsidR="009F2562" w:rsidRPr="00FB0031" w:rsidRDefault="009F2562" w:rsidP="009F2562">
            <w:pPr>
              <w:tabs>
                <w:tab w:val="decimal" w:pos="1107"/>
              </w:tabs>
              <w:rPr>
                <w:rFonts w:ascii="Times New Roman" w:hAnsi="Times New Roman" w:cs="Times New Roman"/>
              </w:rPr>
            </w:pPr>
            <w:r w:rsidRPr="00FB0031">
              <w:rPr>
                <w:rFonts w:ascii="Times New Roman" w:hAnsi="Times New Roman" w:cs="Times New Roman"/>
              </w:rPr>
              <w:t>170</w:t>
            </w:r>
          </w:p>
        </w:tc>
        <w:tc>
          <w:tcPr>
            <w:tcW w:w="2154" w:type="dxa"/>
            <w:tcBorders>
              <w:top w:val="nil"/>
              <w:bottom w:val="nil"/>
            </w:tcBorders>
          </w:tcPr>
          <w:p w14:paraId="55C9F773" w14:textId="46932709" w:rsidR="009F2562" w:rsidRPr="00FB0031" w:rsidRDefault="009F2562" w:rsidP="009F2562">
            <w:pPr>
              <w:tabs>
                <w:tab w:val="decimal" w:pos="1221"/>
              </w:tabs>
              <w:rPr>
                <w:rFonts w:ascii="Times New Roman" w:hAnsi="Times New Roman" w:cs="Times New Roman"/>
              </w:rPr>
            </w:pPr>
            <w:r w:rsidRPr="00FB0031">
              <w:rPr>
                <w:rFonts w:ascii="Times New Roman" w:hAnsi="Times New Roman" w:cs="Times New Roman"/>
              </w:rPr>
              <w:t>125</w:t>
            </w:r>
          </w:p>
        </w:tc>
      </w:tr>
      <w:tr w:rsidR="009F2562" w:rsidRPr="00B824AA" w14:paraId="582DCFAF" w14:textId="77777777" w:rsidTr="00866620">
        <w:tc>
          <w:tcPr>
            <w:tcW w:w="2551" w:type="dxa"/>
            <w:tcBorders>
              <w:top w:val="nil"/>
              <w:bottom w:val="nil"/>
            </w:tcBorders>
            <w:vAlign w:val="center"/>
          </w:tcPr>
          <w:p w14:paraId="5881ED53"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0B7A6D43" w14:textId="32005FC2" w:rsidR="009F2562" w:rsidRPr="00FB0031" w:rsidRDefault="009F2562" w:rsidP="009F2562">
            <w:pPr>
              <w:tabs>
                <w:tab w:val="decimal" w:pos="1135"/>
              </w:tabs>
              <w:rPr>
                <w:rFonts w:ascii="Times New Roman" w:hAnsi="Times New Roman" w:cs="Times New Roman"/>
              </w:rPr>
            </w:pPr>
            <w:r w:rsidRPr="00FB0031">
              <w:rPr>
                <w:rFonts w:ascii="Times New Roman" w:hAnsi="Times New Roman" w:cs="Times New Roman"/>
              </w:rPr>
              <w:t>140</w:t>
            </w:r>
          </w:p>
        </w:tc>
        <w:tc>
          <w:tcPr>
            <w:tcW w:w="2154" w:type="dxa"/>
            <w:tcBorders>
              <w:top w:val="nil"/>
              <w:bottom w:val="nil"/>
            </w:tcBorders>
          </w:tcPr>
          <w:p w14:paraId="72BE55B0" w14:textId="198A61F7" w:rsidR="009F2562" w:rsidRPr="00FB0031" w:rsidRDefault="009F2562" w:rsidP="009F2562">
            <w:pPr>
              <w:tabs>
                <w:tab w:val="decimal" w:pos="1107"/>
              </w:tabs>
              <w:rPr>
                <w:rFonts w:ascii="Times New Roman" w:hAnsi="Times New Roman" w:cs="Times New Roman"/>
              </w:rPr>
            </w:pPr>
            <w:r w:rsidRPr="00FB0031">
              <w:rPr>
                <w:rFonts w:ascii="Times New Roman" w:hAnsi="Times New Roman" w:cs="Times New Roman"/>
              </w:rPr>
              <w:t>147</w:t>
            </w:r>
          </w:p>
        </w:tc>
        <w:tc>
          <w:tcPr>
            <w:tcW w:w="2154" w:type="dxa"/>
            <w:tcBorders>
              <w:top w:val="nil"/>
              <w:bottom w:val="nil"/>
            </w:tcBorders>
          </w:tcPr>
          <w:p w14:paraId="0AEA438B" w14:textId="764907A0" w:rsidR="009F2562" w:rsidRPr="00FB0031" w:rsidRDefault="009F2562" w:rsidP="009F2562">
            <w:pPr>
              <w:tabs>
                <w:tab w:val="decimal" w:pos="1221"/>
              </w:tabs>
              <w:rPr>
                <w:rFonts w:ascii="Times New Roman" w:hAnsi="Times New Roman" w:cs="Times New Roman"/>
              </w:rPr>
            </w:pPr>
            <w:r w:rsidRPr="00FB0031">
              <w:rPr>
                <w:rFonts w:ascii="Times New Roman" w:hAnsi="Times New Roman" w:cs="Times New Roman"/>
              </w:rPr>
              <w:t>118</w:t>
            </w:r>
          </w:p>
        </w:tc>
      </w:tr>
      <w:tr w:rsidR="009F2562" w:rsidRPr="00B824AA" w14:paraId="5EE683D3" w14:textId="77777777" w:rsidTr="00866620">
        <w:tc>
          <w:tcPr>
            <w:tcW w:w="2551" w:type="dxa"/>
            <w:tcBorders>
              <w:top w:val="nil"/>
              <w:bottom w:val="nil"/>
            </w:tcBorders>
            <w:vAlign w:val="center"/>
          </w:tcPr>
          <w:p w14:paraId="127F8212" w14:textId="4C5C2106" w:rsidR="009F2562" w:rsidRPr="00B824AA" w:rsidRDefault="009F2562" w:rsidP="009F25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40ADAEDA" w14:textId="771A39C7" w:rsidR="009F2562" w:rsidRPr="00FB0031" w:rsidRDefault="009F2562" w:rsidP="009F2562">
            <w:pPr>
              <w:tabs>
                <w:tab w:val="decimal" w:pos="1135"/>
              </w:tabs>
              <w:rPr>
                <w:rFonts w:ascii="Times New Roman" w:hAnsi="Times New Roman" w:cs="Times New Roman"/>
                <w:color w:val="000000"/>
              </w:rPr>
            </w:pPr>
            <w:r w:rsidRPr="00FB0031">
              <w:rPr>
                <w:rFonts w:ascii="Times New Roman" w:hAnsi="Times New Roman" w:cs="Times New Roman"/>
              </w:rPr>
              <w:t>173</w:t>
            </w:r>
          </w:p>
        </w:tc>
        <w:tc>
          <w:tcPr>
            <w:tcW w:w="2154" w:type="dxa"/>
            <w:tcBorders>
              <w:top w:val="nil"/>
              <w:bottom w:val="nil"/>
            </w:tcBorders>
          </w:tcPr>
          <w:p w14:paraId="6219B184" w14:textId="39389F52" w:rsidR="009F2562" w:rsidRPr="00FB0031" w:rsidRDefault="009F2562" w:rsidP="009F2562">
            <w:pPr>
              <w:tabs>
                <w:tab w:val="decimal" w:pos="1107"/>
              </w:tabs>
              <w:rPr>
                <w:rFonts w:ascii="Times New Roman" w:hAnsi="Times New Roman" w:cs="Times New Roman"/>
                <w:color w:val="000000"/>
              </w:rPr>
            </w:pPr>
            <w:r w:rsidRPr="00FB0031">
              <w:rPr>
                <w:rFonts w:ascii="Times New Roman" w:hAnsi="Times New Roman" w:cs="Times New Roman"/>
              </w:rPr>
              <w:t>189</w:t>
            </w:r>
          </w:p>
        </w:tc>
        <w:tc>
          <w:tcPr>
            <w:tcW w:w="2154" w:type="dxa"/>
            <w:tcBorders>
              <w:top w:val="nil"/>
              <w:bottom w:val="nil"/>
            </w:tcBorders>
          </w:tcPr>
          <w:p w14:paraId="0EBC0A5E" w14:textId="0A5EDF84" w:rsidR="009F2562" w:rsidRPr="00FB0031" w:rsidRDefault="009F2562" w:rsidP="009F2562">
            <w:pPr>
              <w:tabs>
                <w:tab w:val="decimal" w:pos="1221"/>
              </w:tabs>
              <w:rPr>
                <w:rFonts w:ascii="Times New Roman" w:hAnsi="Times New Roman" w:cs="Times New Roman"/>
                <w:color w:val="000000"/>
              </w:rPr>
            </w:pPr>
            <w:r w:rsidRPr="00FB0031">
              <w:rPr>
                <w:rFonts w:ascii="Times New Roman" w:hAnsi="Times New Roman" w:cs="Times New Roman"/>
              </w:rPr>
              <w:t>132</w:t>
            </w:r>
          </w:p>
        </w:tc>
      </w:tr>
      <w:tr w:rsidR="009F2562" w:rsidRPr="00B824AA" w14:paraId="12260754" w14:textId="77777777" w:rsidTr="00B41C82">
        <w:tc>
          <w:tcPr>
            <w:tcW w:w="2551" w:type="dxa"/>
            <w:tcBorders>
              <w:top w:val="nil"/>
              <w:bottom w:val="nil"/>
            </w:tcBorders>
          </w:tcPr>
          <w:p w14:paraId="482111AF" w14:textId="77777777" w:rsidR="009F2562" w:rsidRPr="00B824AA" w:rsidRDefault="009F2562" w:rsidP="009F2562">
            <w:pPr>
              <w:ind w:left="316"/>
              <w:rPr>
                <w:rFonts w:ascii="Times New Roman" w:hAnsi="Times New Roman" w:cs="Times New Roman"/>
              </w:rPr>
            </w:pPr>
          </w:p>
          <w:p w14:paraId="2EFDEDF7" w14:textId="70856282" w:rsidR="009F2562" w:rsidRPr="00B824AA" w:rsidRDefault="009F2562" w:rsidP="009F2562">
            <w:pPr>
              <w:ind w:left="316"/>
              <w:rPr>
                <w:rFonts w:ascii="Times New Roman" w:hAnsi="Times New Roman" w:cs="Times New Roman"/>
              </w:rPr>
            </w:pPr>
            <w:r w:rsidRPr="00B824AA">
              <w:rPr>
                <w:rFonts w:ascii="Times New Roman" w:hAnsi="Times New Roman" w:cs="Times New Roman"/>
              </w:rPr>
              <w:t>Osoby zatrudnione w sektorze R&amp;D (wszystkie sektory)</w:t>
            </w:r>
          </w:p>
        </w:tc>
        <w:tc>
          <w:tcPr>
            <w:tcW w:w="2154" w:type="dxa"/>
            <w:tcBorders>
              <w:top w:val="nil"/>
              <w:bottom w:val="nil"/>
            </w:tcBorders>
          </w:tcPr>
          <w:p w14:paraId="5E9EE2F0" w14:textId="77777777" w:rsidR="009F2562" w:rsidRPr="00B824AA" w:rsidRDefault="009F2562" w:rsidP="009F2562">
            <w:pPr>
              <w:tabs>
                <w:tab w:val="decimal" w:pos="1135"/>
              </w:tabs>
              <w:rPr>
                <w:rFonts w:ascii="Times New Roman" w:hAnsi="Times New Roman" w:cs="Times New Roman"/>
              </w:rPr>
            </w:pPr>
          </w:p>
        </w:tc>
        <w:tc>
          <w:tcPr>
            <w:tcW w:w="2154" w:type="dxa"/>
            <w:tcBorders>
              <w:top w:val="nil"/>
              <w:bottom w:val="nil"/>
            </w:tcBorders>
          </w:tcPr>
          <w:p w14:paraId="1074F299" w14:textId="77777777" w:rsidR="009F2562" w:rsidRPr="00B824AA" w:rsidRDefault="009F2562" w:rsidP="009F2562">
            <w:pPr>
              <w:tabs>
                <w:tab w:val="decimal" w:pos="1107"/>
              </w:tabs>
              <w:rPr>
                <w:rFonts w:ascii="Times New Roman" w:hAnsi="Times New Roman" w:cs="Times New Roman"/>
              </w:rPr>
            </w:pPr>
          </w:p>
        </w:tc>
        <w:tc>
          <w:tcPr>
            <w:tcW w:w="2154" w:type="dxa"/>
            <w:tcBorders>
              <w:top w:val="nil"/>
              <w:bottom w:val="nil"/>
            </w:tcBorders>
          </w:tcPr>
          <w:p w14:paraId="718B9026" w14:textId="77777777" w:rsidR="009F2562" w:rsidRPr="00B824AA" w:rsidRDefault="009F2562" w:rsidP="009F2562">
            <w:pPr>
              <w:tabs>
                <w:tab w:val="decimal" w:pos="1221"/>
              </w:tabs>
              <w:rPr>
                <w:rFonts w:ascii="Times New Roman" w:hAnsi="Times New Roman" w:cs="Times New Roman"/>
              </w:rPr>
            </w:pPr>
          </w:p>
        </w:tc>
      </w:tr>
      <w:tr w:rsidR="009F2562" w:rsidRPr="00B824AA" w14:paraId="14FF85F4" w14:textId="77777777" w:rsidTr="00866620">
        <w:tc>
          <w:tcPr>
            <w:tcW w:w="2551" w:type="dxa"/>
            <w:tcBorders>
              <w:top w:val="nil"/>
              <w:bottom w:val="nil"/>
            </w:tcBorders>
          </w:tcPr>
          <w:p w14:paraId="57F3EF5D"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4432B86C" w14:textId="0949CDAA" w:rsidR="009F2562" w:rsidRPr="00B34E28" w:rsidRDefault="009F2562" w:rsidP="009F2562">
            <w:pPr>
              <w:tabs>
                <w:tab w:val="decimal" w:pos="1135"/>
              </w:tabs>
              <w:rPr>
                <w:rFonts w:ascii="Times New Roman" w:hAnsi="Times New Roman" w:cs="Times New Roman"/>
              </w:rPr>
            </w:pPr>
            <w:r w:rsidRPr="00B34E28">
              <w:rPr>
                <w:rFonts w:ascii="Times New Roman" w:hAnsi="Times New Roman" w:cs="Times New Roman"/>
              </w:rPr>
              <w:t>47</w:t>
            </w:r>
          </w:p>
        </w:tc>
        <w:tc>
          <w:tcPr>
            <w:tcW w:w="2154" w:type="dxa"/>
            <w:tcBorders>
              <w:top w:val="nil"/>
              <w:bottom w:val="nil"/>
            </w:tcBorders>
          </w:tcPr>
          <w:p w14:paraId="68D9E7D1" w14:textId="6F63B5D1" w:rsidR="009F2562" w:rsidRPr="00B34E28" w:rsidRDefault="009F2562" w:rsidP="009F2562">
            <w:pPr>
              <w:tabs>
                <w:tab w:val="decimal" w:pos="1107"/>
              </w:tabs>
              <w:rPr>
                <w:rFonts w:ascii="Times New Roman" w:hAnsi="Times New Roman" w:cs="Times New Roman"/>
              </w:rPr>
            </w:pPr>
            <w:r w:rsidRPr="00B34E28">
              <w:rPr>
                <w:rFonts w:ascii="Times New Roman" w:hAnsi="Times New Roman" w:cs="Times New Roman"/>
              </w:rPr>
              <w:t>41</w:t>
            </w:r>
          </w:p>
        </w:tc>
        <w:tc>
          <w:tcPr>
            <w:tcW w:w="2154" w:type="dxa"/>
            <w:tcBorders>
              <w:top w:val="nil"/>
              <w:bottom w:val="nil"/>
            </w:tcBorders>
          </w:tcPr>
          <w:p w14:paraId="0A9F1BF0" w14:textId="5F430291" w:rsidR="009F2562" w:rsidRPr="00B34E28" w:rsidRDefault="009F2562" w:rsidP="009F2562">
            <w:pPr>
              <w:tabs>
                <w:tab w:val="decimal" w:pos="1221"/>
              </w:tabs>
              <w:rPr>
                <w:rFonts w:ascii="Times New Roman" w:hAnsi="Times New Roman" w:cs="Times New Roman"/>
              </w:rPr>
            </w:pPr>
            <w:r w:rsidRPr="00B34E28">
              <w:rPr>
                <w:rFonts w:ascii="Times New Roman" w:hAnsi="Times New Roman" w:cs="Times New Roman"/>
              </w:rPr>
              <w:t>86</w:t>
            </w:r>
          </w:p>
        </w:tc>
      </w:tr>
      <w:tr w:rsidR="009F2562" w:rsidRPr="00B824AA" w14:paraId="28474C0C" w14:textId="77777777" w:rsidTr="00866620">
        <w:tc>
          <w:tcPr>
            <w:tcW w:w="2551" w:type="dxa"/>
            <w:tcBorders>
              <w:top w:val="nil"/>
              <w:bottom w:val="nil"/>
            </w:tcBorders>
          </w:tcPr>
          <w:p w14:paraId="29C2AB39"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2C2F6B6C" w14:textId="5E7384F2" w:rsidR="009F2562" w:rsidRPr="00B34E28" w:rsidRDefault="009F2562" w:rsidP="009F2562">
            <w:pPr>
              <w:tabs>
                <w:tab w:val="decimal" w:pos="1135"/>
              </w:tabs>
              <w:rPr>
                <w:rFonts w:ascii="Times New Roman" w:hAnsi="Times New Roman" w:cs="Times New Roman"/>
              </w:rPr>
            </w:pPr>
            <w:r w:rsidRPr="00B34E28">
              <w:rPr>
                <w:rFonts w:ascii="Times New Roman" w:hAnsi="Times New Roman" w:cs="Times New Roman"/>
              </w:rPr>
              <w:t>55</w:t>
            </w:r>
          </w:p>
        </w:tc>
        <w:tc>
          <w:tcPr>
            <w:tcW w:w="2154" w:type="dxa"/>
            <w:tcBorders>
              <w:top w:val="nil"/>
              <w:bottom w:val="nil"/>
            </w:tcBorders>
          </w:tcPr>
          <w:p w14:paraId="3238CD2D" w14:textId="368F4718" w:rsidR="009F2562" w:rsidRPr="00B34E28" w:rsidRDefault="009F2562" w:rsidP="009F2562">
            <w:pPr>
              <w:tabs>
                <w:tab w:val="decimal" w:pos="1107"/>
              </w:tabs>
              <w:rPr>
                <w:rFonts w:ascii="Times New Roman" w:hAnsi="Times New Roman" w:cs="Times New Roman"/>
              </w:rPr>
            </w:pPr>
            <w:r w:rsidRPr="00B34E28">
              <w:rPr>
                <w:rFonts w:ascii="Times New Roman" w:hAnsi="Times New Roman" w:cs="Times New Roman"/>
              </w:rPr>
              <w:t>49</w:t>
            </w:r>
          </w:p>
        </w:tc>
        <w:tc>
          <w:tcPr>
            <w:tcW w:w="2154" w:type="dxa"/>
            <w:tcBorders>
              <w:top w:val="nil"/>
              <w:bottom w:val="nil"/>
            </w:tcBorders>
          </w:tcPr>
          <w:p w14:paraId="48240101" w14:textId="7425D455" w:rsidR="009F2562" w:rsidRPr="00B34E28" w:rsidRDefault="009F2562" w:rsidP="009F2562">
            <w:pPr>
              <w:tabs>
                <w:tab w:val="decimal" w:pos="1221"/>
              </w:tabs>
              <w:rPr>
                <w:rFonts w:ascii="Times New Roman" w:hAnsi="Times New Roman" w:cs="Times New Roman"/>
              </w:rPr>
            </w:pPr>
            <w:r w:rsidRPr="00B34E28">
              <w:rPr>
                <w:rFonts w:ascii="Times New Roman" w:hAnsi="Times New Roman" w:cs="Times New Roman"/>
              </w:rPr>
              <w:t>94</w:t>
            </w:r>
          </w:p>
        </w:tc>
      </w:tr>
      <w:tr w:rsidR="009F2562" w:rsidRPr="00B824AA" w14:paraId="59BD9492" w14:textId="77777777" w:rsidTr="00866620">
        <w:tc>
          <w:tcPr>
            <w:tcW w:w="2551" w:type="dxa"/>
            <w:tcBorders>
              <w:top w:val="nil"/>
              <w:bottom w:val="nil"/>
            </w:tcBorders>
          </w:tcPr>
          <w:p w14:paraId="523D232D"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0E7B65BE" w14:textId="0CA442F0" w:rsidR="009F2562" w:rsidRPr="00B34E28" w:rsidRDefault="009F2562" w:rsidP="009F2562">
            <w:pPr>
              <w:tabs>
                <w:tab w:val="decimal" w:pos="1135"/>
              </w:tabs>
              <w:rPr>
                <w:rFonts w:ascii="Times New Roman" w:hAnsi="Times New Roman" w:cs="Times New Roman"/>
              </w:rPr>
            </w:pPr>
            <w:r w:rsidRPr="00B34E28">
              <w:rPr>
                <w:rFonts w:ascii="Times New Roman" w:hAnsi="Times New Roman" w:cs="Times New Roman"/>
              </w:rPr>
              <w:t>75</w:t>
            </w:r>
          </w:p>
        </w:tc>
        <w:tc>
          <w:tcPr>
            <w:tcW w:w="2154" w:type="dxa"/>
            <w:tcBorders>
              <w:top w:val="nil"/>
              <w:bottom w:val="nil"/>
            </w:tcBorders>
          </w:tcPr>
          <w:p w14:paraId="2EFAEF2F" w14:textId="23D909E8" w:rsidR="009F2562" w:rsidRPr="00B34E28" w:rsidRDefault="009F2562" w:rsidP="009F2562">
            <w:pPr>
              <w:tabs>
                <w:tab w:val="decimal" w:pos="1107"/>
              </w:tabs>
              <w:rPr>
                <w:rFonts w:ascii="Times New Roman" w:hAnsi="Times New Roman" w:cs="Times New Roman"/>
              </w:rPr>
            </w:pPr>
            <w:r w:rsidRPr="00B34E28">
              <w:rPr>
                <w:rFonts w:ascii="Times New Roman" w:hAnsi="Times New Roman" w:cs="Times New Roman"/>
              </w:rPr>
              <w:t>68</w:t>
            </w:r>
          </w:p>
        </w:tc>
        <w:tc>
          <w:tcPr>
            <w:tcW w:w="2154" w:type="dxa"/>
            <w:tcBorders>
              <w:top w:val="nil"/>
              <w:bottom w:val="nil"/>
            </w:tcBorders>
          </w:tcPr>
          <w:p w14:paraId="6BB6AAA6" w14:textId="2315E280" w:rsidR="009F2562" w:rsidRPr="00B34E28" w:rsidRDefault="009F2562" w:rsidP="009F2562">
            <w:pPr>
              <w:tabs>
                <w:tab w:val="decimal" w:pos="1221"/>
              </w:tabs>
              <w:rPr>
                <w:rFonts w:ascii="Times New Roman" w:hAnsi="Times New Roman" w:cs="Times New Roman"/>
              </w:rPr>
            </w:pPr>
            <w:r w:rsidRPr="00B34E28">
              <w:rPr>
                <w:rFonts w:ascii="Times New Roman" w:hAnsi="Times New Roman" w:cs="Times New Roman"/>
              </w:rPr>
              <w:t>110</w:t>
            </w:r>
          </w:p>
        </w:tc>
      </w:tr>
      <w:tr w:rsidR="009F2562" w:rsidRPr="00B824AA" w14:paraId="512839C2" w14:textId="77777777" w:rsidTr="00866620">
        <w:tc>
          <w:tcPr>
            <w:tcW w:w="2551" w:type="dxa"/>
            <w:tcBorders>
              <w:top w:val="nil"/>
              <w:bottom w:val="nil"/>
            </w:tcBorders>
            <w:vAlign w:val="center"/>
          </w:tcPr>
          <w:p w14:paraId="37B0352D"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7DF4C793" w14:textId="039A12F8" w:rsidR="009F2562" w:rsidRPr="00B34E28" w:rsidRDefault="009F2562" w:rsidP="009F2562">
            <w:pPr>
              <w:tabs>
                <w:tab w:val="decimal" w:pos="1135"/>
              </w:tabs>
              <w:rPr>
                <w:rFonts w:ascii="Times New Roman" w:hAnsi="Times New Roman" w:cs="Times New Roman"/>
              </w:rPr>
            </w:pPr>
            <w:r w:rsidRPr="00B34E28">
              <w:rPr>
                <w:rFonts w:ascii="Times New Roman" w:hAnsi="Times New Roman" w:cs="Times New Roman"/>
              </w:rPr>
              <w:t>74</w:t>
            </w:r>
          </w:p>
        </w:tc>
        <w:tc>
          <w:tcPr>
            <w:tcW w:w="2154" w:type="dxa"/>
            <w:tcBorders>
              <w:top w:val="nil"/>
              <w:bottom w:val="nil"/>
            </w:tcBorders>
          </w:tcPr>
          <w:p w14:paraId="32995681" w14:textId="65A06E94" w:rsidR="009F2562" w:rsidRPr="00B34E28" w:rsidRDefault="009F2562" w:rsidP="009F2562">
            <w:pPr>
              <w:tabs>
                <w:tab w:val="decimal" w:pos="1107"/>
              </w:tabs>
              <w:rPr>
                <w:rFonts w:ascii="Times New Roman" w:hAnsi="Times New Roman" w:cs="Times New Roman"/>
              </w:rPr>
            </w:pPr>
            <w:r w:rsidRPr="00B34E28">
              <w:rPr>
                <w:rFonts w:ascii="Times New Roman" w:hAnsi="Times New Roman" w:cs="Times New Roman"/>
              </w:rPr>
              <w:t>67</w:t>
            </w:r>
          </w:p>
        </w:tc>
        <w:tc>
          <w:tcPr>
            <w:tcW w:w="2154" w:type="dxa"/>
            <w:tcBorders>
              <w:top w:val="nil"/>
              <w:bottom w:val="nil"/>
            </w:tcBorders>
          </w:tcPr>
          <w:p w14:paraId="3F984F55" w14:textId="7A7DF92C" w:rsidR="009F2562" w:rsidRPr="00B34E28" w:rsidRDefault="009F2562" w:rsidP="009F2562">
            <w:pPr>
              <w:tabs>
                <w:tab w:val="decimal" w:pos="1221"/>
              </w:tabs>
              <w:rPr>
                <w:rFonts w:ascii="Times New Roman" w:hAnsi="Times New Roman" w:cs="Times New Roman"/>
              </w:rPr>
            </w:pPr>
            <w:r w:rsidRPr="00B34E28">
              <w:rPr>
                <w:rFonts w:ascii="Times New Roman" w:hAnsi="Times New Roman" w:cs="Times New Roman"/>
              </w:rPr>
              <w:t>110</w:t>
            </w:r>
          </w:p>
        </w:tc>
      </w:tr>
      <w:tr w:rsidR="009F2562" w:rsidRPr="00B824AA" w14:paraId="44B873D0" w14:textId="77777777" w:rsidTr="00866620">
        <w:tc>
          <w:tcPr>
            <w:tcW w:w="2551" w:type="dxa"/>
            <w:tcBorders>
              <w:top w:val="nil"/>
              <w:bottom w:val="nil"/>
            </w:tcBorders>
            <w:vAlign w:val="center"/>
          </w:tcPr>
          <w:p w14:paraId="5D13FCD5" w14:textId="733FDDDB" w:rsidR="009F2562" w:rsidRPr="00B824AA" w:rsidRDefault="009F2562" w:rsidP="009F25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62D76F90" w14:textId="4DE1A339" w:rsidR="009F2562" w:rsidRPr="00B34E28" w:rsidRDefault="009F2562" w:rsidP="009F2562">
            <w:pPr>
              <w:tabs>
                <w:tab w:val="decimal" w:pos="1135"/>
              </w:tabs>
              <w:rPr>
                <w:rFonts w:ascii="Times New Roman" w:hAnsi="Times New Roman" w:cs="Times New Roman"/>
                <w:color w:val="000000"/>
              </w:rPr>
            </w:pPr>
            <w:r w:rsidRPr="00B34E28">
              <w:rPr>
                <w:rFonts w:ascii="Times New Roman" w:hAnsi="Times New Roman" w:cs="Times New Roman"/>
              </w:rPr>
              <w:t>80</w:t>
            </w:r>
          </w:p>
        </w:tc>
        <w:tc>
          <w:tcPr>
            <w:tcW w:w="2154" w:type="dxa"/>
            <w:tcBorders>
              <w:top w:val="nil"/>
              <w:bottom w:val="nil"/>
            </w:tcBorders>
          </w:tcPr>
          <w:p w14:paraId="7DDFCEA3" w14:textId="76A6C262" w:rsidR="009F2562" w:rsidRPr="00B34E28" w:rsidRDefault="009F2562" w:rsidP="009F2562">
            <w:pPr>
              <w:tabs>
                <w:tab w:val="decimal" w:pos="1107"/>
              </w:tabs>
              <w:rPr>
                <w:rFonts w:ascii="Times New Roman" w:hAnsi="Times New Roman" w:cs="Times New Roman"/>
                <w:color w:val="000000"/>
              </w:rPr>
            </w:pPr>
            <w:r w:rsidRPr="00B34E28">
              <w:rPr>
                <w:rFonts w:ascii="Times New Roman" w:hAnsi="Times New Roman" w:cs="Times New Roman"/>
              </w:rPr>
              <w:t>72</w:t>
            </w:r>
          </w:p>
        </w:tc>
        <w:tc>
          <w:tcPr>
            <w:tcW w:w="2154" w:type="dxa"/>
            <w:tcBorders>
              <w:top w:val="nil"/>
              <w:bottom w:val="nil"/>
            </w:tcBorders>
          </w:tcPr>
          <w:p w14:paraId="0E072F91" w14:textId="12880A97" w:rsidR="009F2562" w:rsidRPr="00B34E28" w:rsidRDefault="009F2562" w:rsidP="009F2562">
            <w:pPr>
              <w:tabs>
                <w:tab w:val="decimal" w:pos="1221"/>
              </w:tabs>
              <w:rPr>
                <w:rFonts w:ascii="Times New Roman" w:hAnsi="Times New Roman" w:cs="Times New Roman"/>
                <w:color w:val="000000"/>
              </w:rPr>
            </w:pPr>
            <w:r w:rsidRPr="00B34E28">
              <w:rPr>
                <w:rFonts w:ascii="Times New Roman" w:hAnsi="Times New Roman" w:cs="Times New Roman"/>
              </w:rPr>
              <w:t>104</w:t>
            </w:r>
          </w:p>
        </w:tc>
      </w:tr>
      <w:tr w:rsidR="009F2562" w:rsidRPr="00B824AA" w14:paraId="17F5FA00" w14:textId="77777777" w:rsidTr="00B41C82">
        <w:tc>
          <w:tcPr>
            <w:tcW w:w="2551" w:type="dxa"/>
            <w:tcBorders>
              <w:top w:val="nil"/>
              <w:bottom w:val="nil"/>
            </w:tcBorders>
          </w:tcPr>
          <w:p w14:paraId="24952BA2" w14:textId="77777777" w:rsidR="009F2562" w:rsidRPr="00B824AA" w:rsidRDefault="009F2562" w:rsidP="009F2562">
            <w:pPr>
              <w:ind w:left="316"/>
              <w:rPr>
                <w:rFonts w:ascii="Times New Roman" w:hAnsi="Times New Roman" w:cs="Times New Roman"/>
              </w:rPr>
            </w:pPr>
          </w:p>
          <w:p w14:paraId="58F97F07" w14:textId="0F3CA511" w:rsidR="009F2562" w:rsidRPr="00B824AA" w:rsidRDefault="009F2562" w:rsidP="009F2562">
            <w:pPr>
              <w:ind w:left="316"/>
              <w:rPr>
                <w:rFonts w:ascii="Times New Roman" w:hAnsi="Times New Roman" w:cs="Times New Roman"/>
              </w:rPr>
            </w:pPr>
            <w:r w:rsidRPr="00B824AA">
              <w:rPr>
                <w:rFonts w:ascii="Times New Roman" w:hAnsi="Times New Roman" w:cs="Times New Roman"/>
              </w:rPr>
              <w:t>Wnioski patentowe do EUP</w:t>
            </w:r>
          </w:p>
        </w:tc>
        <w:tc>
          <w:tcPr>
            <w:tcW w:w="2154" w:type="dxa"/>
            <w:tcBorders>
              <w:top w:val="nil"/>
              <w:bottom w:val="nil"/>
            </w:tcBorders>
          </w:tcPr>
          <w:p w14:paraId="768B0F26" w14:textId="77777777" w:rsidR="009F2562" w:rsidRPr="00B824AA" w:rsidRDefault="009F2562" w:rsidP="009F2562">
            <w:pPr>
              <w:tabs>
                <w:tab w:val="decimal" w:pos="1135"/>
              </w:tabs>
              <w:rPr>
                <w:rFonts w:ascii="Times New Roman" w:hAnsi="Times New Roman" w:cs="Times New Roman"/>
              </w:rPr>
            </w:pPr>
          </w:p>
        </w:tc>
        <w:tc>
          <w:tcPr>
            <w:tcW w:w="2154" w:type="dxa"/>
            <w:tcBorders>
              <w:top w:val="nil"/>
              <w:bottom w:val="nil"/>
            </w:tcBorders>
          </w:tcPr>
          <w:p w14:paraId="4FD11C51" w14:textId="77777777" w:rsidR="009F2562" w:rsidRPr="00B824AA" w:rsidRDefault="009F2562" w:rsidP="009F2562">
            <w:pPr>
              <w:tabs>
                <w:tab w:val="decimal" w:pos="1107"/>
              </w:tabs>
              <w:rPr>
                <w:rFonts w:ascii="Times New Roman" w:hAnsi="Times New Roman" w:cs="Times New Roman"/>
              </w:rPr>
            </w:pPr>
          </w:p>
        </w:tc>
        <w:tc>
          <w:tcPr>
            <w:tcW w:w="2154" w:type="dxa"/>
            <w:tcBorders>
              <w:top w:val="nil"/>
              <w:bottom w:val="nil"/>
            </w:tcBorders>
          </w:tcPr>
          <w:p w14:paraId="24381E7A" w14:textId="77777777" w:rsidR="009F2562" w:rsidRPr="00B824AA" w:rsidRDefault="009F2562" w:rsidP="009F2562">
            <w:pPr>
              <w:tabs>
                <w:tab w:val="decimal" w:pos="1221"/>
              </w:tabs>
              <w:rPr>
                <w:rFonts w:ascii="Times New Roman" w:hAnsi="Times New Roman" w:cs="Times New Roman"/>
              </w:rPr>
            </w:pPr>
          </w:p>
        </w:tc>
      </w:tr>
      <w:tr w:rsidR="009F2562" w:rsidRPr="00B824AA" w14:paraId="3B7E39A5" w14:textId="77777777" w:rsidTr="00866620">
        <w:tc>
          <w:tcPr>
            <w:tcW w:w="2551" w:type="dxa"/>
            <w:tcBorders>
              <w:top w:val="nil"/>
              <w:bottom w:val="nil"/>
            </w:tcBorders>
          </w:tcPr>
          <w:p w14:paraId="52849702"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43A20CBB" w14:textId="0DA792D1" w:rsidR="009F2562" w:rsidRPr="00D1479F" w:rsidRDefault="009F2562" w:rsidP="009F2562">
            <w:pPr>
              <w:tabs>
                <w:tab w:val="decimal" w:pos="1135"/>
              </w:tabs>
              <w:rPr>
                <w:rFonts w:ascii="Times New Roman" w:hAnsi="Times New Roman" w:cs="Times New Roman"/>
              </w:rPr>
            </w:pPr>
            <w:r w:rsidRPr="00D1479F">
              <w:rPr>
                <w:rFonts w:ascii="Times New Roman" w:hAnsi="Times New Roman" w:cs="Times New Roman"/>
              </w:rPr>
              <w:t>4</w:t>
            </w:r>
          </w:p>
        </w:tc>
        <w:tc>
          <w:tcPr>
            <w:tcW w:w="2154" w:type="dxa"/>
            <w:tcBorders>
              <w:top w:val="nil"/>
              <w:bottom w:val="nil"/>
            </w:tcBorders>
          </w:tcPr>
          <w:p w14:paraId="3ACF3614" w14:textId="70B825A7" w:rsidR="009F2562" w:rsidRPr="00D1479F" w:rsidRDefault="009F2562" w:rsidP="009F2562">
            <w:pPr>
              <w:tabs>
                <w:tab w:val="decimal" w:pos="1107"/>
              </w:tabs>
              <w:rPr>
                <w:rFonts w:ascii="Times New Roman" w:hAnsi="Times New Roman" w:cs="Times New Roman"/>
              </w:rPr>
            </w:pPr>
            <w:r w:rsidRPr="00D1479F">
              <w:rPr>
                <w:rFonts w:ascii="Times New Roman" w:hAnsi="Times New Roman" w:cs="Times New Roman"/>
              </w:rPr>
              <w:t>3</w:t>
            </w:r>
          </w:p>
        </w:tc>
        <w:tc>
          <w:tcPr>
            <w:tcW w:w="2154" w:type="dxa"/>
            <w:tcBorders>
              <w:top w:val="nil"/>
              <w:bottom w:val="nil"/>
            </w:tcBorders>
          </w:tcPr>
          <w:p w14:paraId="3A5A766E" w14:textId="63896DAE" w:rsidR="009F2562" w:rsidRPr="00D1479F" w:rsidRDefault="009F2562" w:rsidP="009F2562">
            <w:pPr>
              <w:tabs>
                <w:tab w:val="decimal" w:pos="1221"/>
              </w:tabs>
              <w:rPr>
                <w:rFonts w:ascii="Times New Roman" w:hAnsi="Times New Roman" w:cs="Times New Roman"/>
              </w:rPr>
            </w:pPr>
            <w:r w:rsidRPr="00D1479F">
              <w:rPr>
                <w:rFonts w:ascii="Times New Roman" w:hAnsi="Times New Roman" w:cs="Times New Roman"/>
              </w:rPr>
              <w:t>69</w:t>
            </w:r>
          </w:p>
        </w:tc>
      </w:tr>
      <w:tr w:rsidR="009F2562" w:rsidRPr="00B824AA" w14:paraId="5F042240" w14:textId="77777777" w:rsidTr="00866620">
        <w:tc>
          <w:tcPr>
            <w:tcW w:w="2551" w:type="dxa"/>
            <w:tcBorders>
              <w:top w:val="nil"/>
              <w:bottom w:val="nil"/>
            </w:tcBorders>
          </w:tcPr>
          <w:p w14:paraId="7476470E"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7890D54D" w14:textId="2A418959" w:rsidR="009F2562" w:rsidRPr="00D1479F" w:rsidRDefault="009F2562" w:rsidP="009F2562">
            <w:pPr>
              <w:tabs>
                <w:tab w:val="decimal" w:pos="1135"/>
              </w:tabs>
              <w:rPr>
                <w:rFonts w:ascii="Times New Roman" w:hAnsi="Times New Roman" w:cs="Times New Roman"/>
              </w:rPr>
            </w:pPr>
            <w:r w:rsidRPr="00D1479F">
              <w:rPr>
                <w:rFonts w:ascii="Times New Roman" w:hAnsi="Times New Roman" w:cs="Times New Roman"/>
              </w:rPr>
              <w:t>11</w:t>
            </w:r>
          </w:p>
        </w:tc>
        <w:tc>
          <w:tcPr>
            <w:tcW w:w="2154" w:type="dxa"/>
            <w:tcBorders>
              <w:top w:val="nil"/>
              <w:bottom w:val="nil"/>
            </w:tcBorders>
          </w:tcPr>
          <w:p w14:paraId="6753D67E" w14:textId="2F3EECB5" w:rsidR="009F2562" w:rsidRPr="00D1479F" w:rsidRDefault="009F2562" w:rsidP="009F2562">
            <w:pPr>
              <w:tabs>
                <w:tab w:val="decimal" w:pos="1107"/>
              </w:tabs>
              <w:rPr>
                <w:rFonts w:ascii="Times New Roman" w:hAnsi="Times New Roman" w:cs="Times New Roman"/>
              </w:rPr>
            </w:pPr>
            <w:r w:rsidRPr="00D1479F">
              <w:rPr>
                <w:rFonts w:ascii="Times New Roman" w:hAnsi="Times New Roman" w:cs="Times New Roman"/>
              </w:rPr>
              <w:t>8</w:t>
            </w:r>
          </w:p>
        </w:tc>
        <w:tc>
          <w:tcPr>
            <w:tcW w:w="2154" w:type="dxa"/>
            <w:tcBorders>
              <w:top w:val="nil"/>
              <w:bottom w:val="nil"/>
            </w:tcBorders>
          </w:tcPr>
          <w:p w14:paraId="165892CB" w14:textId="1C0B9946" w:rsidR="009F2562" w:rsidRPr="00D1479F" w:rsidRDefault="009F2562" w:rsidP="009F2562">
            <w:pPr>
              <w:tabs>
                <w:tab w:val="decimal" w:pos="1221"/>
              </w:tabs>
              <w:rPr>
                <w:rFonts w:ascii="Times New Roman" w:hAnsi="Times New Roman" w:cs="Times New Roman"/>
              </w:rPr>
            </w:pPr>
            <w:r w:rsidRPr="00D1479F">
              <w:rPr>
                <w:rFonts w:ascii="Times New Roman" w:hAnsi="Times New Roman" w:cs="Times New Roman"/>
              </w:rPr>
              <w:t>116</w:t>
            </w:r>
          </w:p>
        </w:tc>
      </w:tr>
      <w:tr w:rsidR="009F2562" w:rsidRPr="00B824AA" w14:paraId="1313AC7A" w14:textId="77777777" w:rsidTr="00866620">
        <w:tc>
          <w:tcPr>
            <w:tcW w:w="2551" w:type="dxa"/>
            <w:tcBorders>
              <w:top w:val="nil"/>
              <w:bottom w:val="nil"/>
            </w:tcBorders>
          </w:tcPr>
          <w:p w14:paraId="3CA2ED68"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517A87CC" w14:textId="0403CAC8" w:rsidR="009F2562" w:rsidRPr="00D1479F" w:rsidRDefault="009F2562" w:rsidP="009F2562">
            <w:pPr>
              <w:tabs>
                <w:tab w:val="decimal" w:pos="1135"/>
              </w:tabs>
              <w:rPr>
                <w:rFonts w:ascii="Times New Roman" w:hAnsi="Times New Roman" w:cs="Times New Roman"/>
              </w:rPr>
            </w:pPr>
            <w:r w:rsidRPr="00D1479F">
              <w:rPr>
                <w:rFonts w:ascii="Times New Roman" w:hAnsi="Times New Roman" w:cs="Times New Roman"/>
              </w:rPr>
              <w:t>9</w:t>
            </w:r>
          </w:p>
        </w:tc>
        <w:tc>
          <w:tcPr>
            <w:tcW w:w="2154" w:type="dxa"/>
            <w:tcBorders>
              <w:top w:val="nil"/>
              <w:bottom w:val="nil"/>
            </w:tcBorders>
          </w:tcPr>
          <w:p w14:paraId="64B86EDB" w14:textId="2086FE8D" w:rsidR="009F2562" w:rsidRPr="00D1479F" w:rsidRDefault="009F2562" w:rsidP="009F2562">
            <w:pPr>
              <w:tabs>
                <w:tab w:val="decimal" w:pos="1107"/>
              </w:tabs>
              <w:rPr>
                <w:rFonts w:ascii="Times New Roman" w:hAnsi="Times New Roman" w:cs="Times New Roman"/>
              </w:rPr>
            </w:pPr>
            <w:r w:rsidRPr="00D1479F">
              <w:rPr>
                <w:rFonts w:ascii="Times New Roman" w:hAnsi="Times New Roman" w:cs="Times New Roman"/>
              </w:rPr>
              <w:t>7</w:t>
            </w:r>
          </w:p>
        </w:tc>
        <w:tc>
          <w:tcPr>
            <w:tcW w:w="2154" w:type="dxa"/>
            <w:tcBorders>
              <w:top w:val="nil"/>
              <w:bottom w:val="nil"/>
            </w:tcBorders>
          </w:tcPr>
          <w:p w14:paraId="1281A7EB" w14:textId="75E01AEC" w:rsidR="009F2562" w:rsidRPr="00D1479F" w:rsidRDefault="009F2562" w:rsidP="009F2562">
            <w:pPr>
              <w:tabs>
                <w:tab w:val="decimal" w:pos="1221"/>
              </w:tabs>
              <w:rPr>
                <w:rFonts w:ascii="Times New Roman" w:hAnsi="Times New Roman" w:cs="Times New Roman"/>
              </w:rPr>
            </w:pPr>
            <w:r w:rsidRPr="00D1479F">
              <w:rPr>
                <w:rFonts w:ascii="Times New Roman" w:hAnsi="Times New Roman" w:cs="Times New Roman"/>
              </w:rPr>
              <w:t>94</w:t>
            </w:r>
          </w:p>
        </w:tc>
      </w:tr>
      <w:tr w:rsidR="009F2562" w:rsidRPr="00B824AA" w14:paraId="51967242" w14:textId="77777777" w:rsidTr="00866620">
        <w:tc>
          <w:tcPr>
            <w:tcW w:w="2551" w:type="dxa"/>
            <w:tcBorders>
              <w:top w:val="nil"/>
              <w:bottom w:val="nil"/>
            </w:tcBorders>
          </w:tcPr>
          <w:p w14:paraId="2BC5A947" w14:textId="77777777" w:rsidR="009F2562" w:rsidRPr="00B824AA" w:rsidRDefault="009F2562" w:rsidP="009F25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58FBDA50" w14:textId="3175B650" w:rsidR="009F2562" w:rsidRPr="00D1479F" w:rsidRDefault="009F2562" w:rsidP="009F2562">
            <w:pPr>
              <w:tabs>
                <w:tab w:val="decimal" w:pos="1135"/>
              </w:tabs>
              <w:rPr>
                <w:rFonts w:ascii="Times New Roman" w:hAnsi="Times New Roman" w:cs="Times New Roman"/>
              </w:rPr>
            </w:pPr>
            <w:r w:rsidRPr="00D1479F">
              <w:rPr>
                <w:rFonts w:ascii="Times New Roman" w:hAnsi="Times New Roman" w:cs="Times New Roman"/>
              </w:rPr>
              <w:t>9</w:t>
            </w:r>
          </w:p>
        </w:tc>
        <w:tc>
          <w:tcPr>
            <w:tcW w:w="2154" w:type="dxa"/>
            <w:tcBorders>
              <w:top w:val="nil"/>
              <w:bottom w:val="nil"/>
            </w:tcBorders>
          </w:tcPr>
          <w:p w14:paraId="50F320E1" w14:textId="0BDFE82B" w:rsidR="009F2562" w:rsidRPr="00D1479F" w:rsidRDefault="009F2562" w:rsidP="009F2562">
            <w:pPr>
              <w:tabs>
                <w:tab w:val="decimal" w:pos="1107"/>
              </w:tabs>
              <w:rPr>
                <w:rFonts w:ascii="Times New Roman" w:hAnsi="Times New Roman" w:cs="Times New Roman"/>
              </w:rPr>
            </w:pPr>
            <w:r w:rsidRPr="00D1479F">
              <w:rPr>
                <w:rFonts w:ascii="Times New Roman" w:hAnsi="Times New Roman" w:cs="Times New Roman"/>
              </w:rPr>
              <w:t>7</w:t>
            </w:r>
          </w:p>
        </w:tc>
        <w:tc>
          <w:tcPr>
            <w:tcW w:w="2154" w:type="dxa"/>
            <w:tcBorders>
              <w:top w:val="nil"/>
              <w:bottom w:val="nil"/>
            </w:tcBorders>
          </w:tcPr>
          <w:p w14:paraId="1A412E35" w14:textId="27DA6994" w:rsidR="009F2562" w:rsidRPr="00D1479F" w:rsidRDefault="009F2562" w:rsidP="009F2562">
            <w:pPr>
              <w:tabs>
                <w:tab w:val="decimal" w:pos="1221"/>
              </w:tabs>
              <w:rPr>
                <w:rFonts w:ascii="Times New Roman" w:hAnsi="Times New Roman" w:cs="Times New Roman"/>
              </w:rPr>
            </w:pPr>
            <w:r w:rsidRPr="00D1479F">
              <w:rPr>
                <w:rFonts w:ascii="Times New Roman" w:hAnsi="Times New Roman" w:cs="Times New Roman"/>
              </w:rPr>
              <w:t>105</w:t>
            </w:r>
          </w:p>
        </w:tc>
      </w:tr>
      <w:tr w:rsidR="009F2562" w:rsidRPr="00B824AA" w14:paraId="4380D2D1" w14:textId="77777777" w:rsidTr="00866620">
        <w:tc>
          <w:tcPr>
            <w:tcW w:w="2551" w:type="dxa"/>
            <w:tcBorders>
              <w:top w:val="nil"/>
            </w:tcBorders>
          </w:tcPr>
          <w:p w14:paraId="552F73A7" w14:textId="40247B3C" w:rsidR="009F2562" w:rsidRPr="00B824AA" w:rsidRDefault="009F2562" w:rsidP="009F25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tcBorders>
          </w:tcPr>
          <w:p w14:paraId="1874B9DE" w14:textId="01110FD6" w:rsidR="009F2562" w:rsidRPr="00D1479F" w:rsidRDefault="009F2562" w:rsidP="009F2562">
            <w:pPr>
              <w:tabs>
                <w:tab w:val="decimal" w:pos="1135"/>
              </w:tabs>
              <w:rPr>
                <w:rFonts w:ascii="Times New Roman" w:hAnsi="Times New Roman" w:cs="Times New Roman"/>
                <w:color w:val="000000"/>
              </w:rPr>
            </w:pPr>
            <w:r w:rsidRPr="00D1479F">
              <w:rPr>
                <w:rFonts w:ascii="Times New Roman" w:hAnsi="Times New Roman" w:cs="Times New Roman"/>
              </w:rPr>
              <w:t>11</w:t>
            </w:r>
          </w:p>
        </w:tc>
        <w:tc>
          <w:tcPr>
            <w:tcW w:w="2154" w:type="dxa"/>
            <w:tcBorders>
              <w:top w:val="nil"/>
            </w:tcBorders>
          </w:tcPr>
          <w:p w14:paraId="510B3836" w14:textId="069939A5" w:rsidR="009F2562" w:rsidRPr="00D1479F" w:rsidRDefault="009F2562" w:rsidP="009F2562">
            <w:pPr>
              <w:tabs>
                <w:tab w:val="decimal" w:pos="1107"/>
              </w:tabs>
              <w:rPr>
                <w:rFonts w:ascii="Times New Roman" w:hAnsi="Times New Roman" w:cs="Times New Roman"/>
                <w:color w:val="000000"/>
              </w:rPr>
            </w:pPr>
            <w:r w:rsidRPr="00D1479F">
              <w:rPr>
                <w:rFonts w:ascii="Times New Roman" w:hAnsi="Times New Roman" w:cs="Times New Roman"/>
              </w:rPr>
              <w:t>8</w:t>
            </w:r>
          </w:p>
        </w:tc>
        <w:tc>
          <w:tcPr>
            <w:tcW w:w="2154" w:type="dxa"/>
            <w:tcBorders>
              <w:top w:val="nil"/>
            </w:tcBorders>
          </w:tcPr>
          <w:p w14:paraId="36786328" w14:textId="3F452B8F" w:rsidR="009F2562" w:rsidRPr="00D1479F" w:rsidRDefault="009F2562" w:rsidP="009F2562">
            <w:pPr>
              <w:tabs>
                <w:tab w:val="decimal" w:pos="1221"/>
              </w:tabs>
              <w:rPr>
                <w:rFonts w:ascii="Times New Roman" w:hAnsi="Times New Roman" w:cs="Times New Roman"/>
                <w:color w:val="000000"/>
              </w:rPr>
            </w:pPr>
            <w:r w:rsidRPr="00D1479F">
              <w:rPr>
                <w:rFonts w:ascii="Times New Roman" w:hAnsi="Times New Roman" w:cs="Times New Roman"/>
              </w:rPr>
              <w:t>109</w:t>
            </w:r>
          </w:p>
        </w:tc>
      </w:tr>
    </w:tbl>
    <w:p w14:paraId="5A86DD20" w14:textId="77777777" w:rsidR="00A71013" w:rsidRPr="00B824AA" w:rsidRDefault="00A71013" w:rsidP="00A71013">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0914AD58" w14:textId="1DAA79A2" w:rsidR="00EA3005" w:rsidRPr="00B824AA" w:rsidRDefault="00BF0B60" w:rsidP="00EA3005">
      <w:pPr>
        <w:pStyle w:val="Heading1"/>
        <w:numPr>
          <w:ilvl w:val="0"/>
          <w:numId w:val="6"/>
        </w:numPr>
        <w:rPr>
          <w:rFonts w:ascii="Times New Roman" w:hAnsi="Times New Roman" w:cs="Times New Roman"/>
          <w:sz w:val="36"/>
          <w:szCs w:val="36"/>
        </w:rPr>
      </w:pPr>
      <w:bookmarkStart w:id="11" w:name="_Toc162905467"/>
      <w:r w:rsidRPr="00B824AA">
        <w:rPr>
          <w:rFonts w:ascii="Times New Roman" w:hAnsi="Times New Roman" w:cs="Times New Roman"/>
          <w:sz w:val="36"/>
          <w:szCs w:val="36"/>
        </w:rPr>
        <w:t>Transport i i</w:t>
      </w:r>
      <w:r w:rsidR="00EA3005" w:rsidRPr="00B824AA">
        <w:rPr>
          <w:rFonts w:ascii="Times New Roman" w:hAnsi="Times New Roman" w:cs="Times New Roman"/>
          <w:sz w:val="36"/>
          <w:szCs w:val="36"/>
        </w:rPr>
        <w:t>nfrastruktura</w:t>
      </w:r>
      <w:bookmarkEnd w:id="11"/>
      <w:r w:rsidR="00E877ED">
        <w:rPr>
          <w:rStyle w:val="FootnoteReference"/>
          <w:rFonts w:ascii="Times New Roman" w:hAnsi="Times New Roman" w:cs="Times New Roman"/>
          <w:sz w:val="36"/>
          <w:szCs w:val="36"/>
        </w:rPr>
        <w:footnoteReference w:id="6"/>
      </w:r>
    </w:p>
    <w:p w14:paraId="794AADAE" w14:textId="4C2D5E01" w:rsidR="00EA3005" w:rsidRPr="00B824AA" w:rsidRDefault="00EA3005" w:rsidP="00EA3005">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 xml:space="preserve">Agnieszka Chłoń-Domińczak </w:t>
      </w:r>
    </w:p>
    <w:p w14:paraId="5FBB5121" w14:textId="6A9484CC" w:rsidR="00F31D7C"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Cząstkowy wskaźnik </w:t>
      </w:r>
      <w:proofErr w:type="spellStart"/>
      <w:r w:rsidR="009B2D4F">
        <w:rPr>
          <w:rFonts w:ascii="Times New Roman" w:hAnsi="Times New Roman" w:cs="Times New Roman"/>
          <w:i/>
          <w:iCs/>
          <w:sz w:val="24"/>
          <w:szCs w:val="24"/>
        </w:rPr>
        <w:t>catch-up</w:t>
      </w:r>
      <w:proofErr w:type="spellEnd"/>
      <w:r w:rsidRPr="00B824AA">
        <w:rPr>
          <w:rFonts w:ascii="Times New Roman" w:hAnsi="Times New Roman" w:cs="Times New Roman"/>
          <w:i/>
          <w:iCs/>
          <w:sz w:val="24"/>
          <w:szCs w:val="24"/>
        </w:rPr>
        <w:t xml:space="preserve"> </w:t>
      </w:r>
      <w:r w:rsidRPr="00B824AA">
        <w:rPr>
          <w:rFonts w:ascii="Times New Roman" w:hAnsi="Times New Roman" w:cs="Times New Roman"/>
          <w:sz w:val="24"/>
          <w:szCs w:val="24"/>
        </w:rPr>
        <w:t xml:space="preserve">w </w:t>
      </w:r>
      <w:r w:rsidR="00747F35">
        <w:rPr>
          <w:rFonts w:ascii="Times New Roman" w:hAnsi="Times New Roman" w:cs="Times New Roman"/>
          <w:sz w:val="24"/>
          <w:szCs w:val="24"/>
        </w:rPr>
        <w:t>wymiarze</w:t>
      </w:r>
      <w:r w:rsidRPr="00B824AA">
        <w:rPr>
          <w:rFonts w:ascii="Times New Roman" w:hAnsi="Times New Roman" w:cs="Times New Roman"/>
          <w:sz w:val="24"/>
          <w:szCs w:val="24"/>
        </w:rPr>
        <w:t xml:space="preserve"> transportu i infrastruktury wskaz</w:t>
      </w:r>
      <w:r w:rsidR="00F31D7C">
        <w:rPr>
          <w:rFonts w:ascii="Times New Roman" w:hAnsi="Times New Roman" w:cs="Times New Roman"/>
          <w:sz w:val="24"/>
          <w:szCs w:val="24"/>
        </w:rPr>
        <w:t>ywał</w:t>
      </w:r>
      <w:r w:rsidRPr="00B824AA">
        <w:rPr>
          <w:rFonts w:ascii="Times New Roman" w:hAnsi="Times New Roman" w:cs="Times New Roman"/>
          <w:sz w:val="24"/>
          <w:szCs w:val="24"/>
        </w:rPr>
        <w:t xml:space="preserve"> na stopniowe doganianie rozwoju krajów UE 2</w:t>
      </w:r>
      <w:r w:rsidR="0081769E" w:rsidRPr="00B824AA">
        <w:rPr>
          <w:rFonts w:ascii="Times New Roman" w:hAnsi="Times New Roman" w:cs="Times New Roman"/>
          <w:sz w:val="24"/>
          <w:szCs w:val="24"/>
        </w:rPr>
        <w:t xml:space="preserve">7 </w:t>
      </w:r>
      <w:r w:rsidRPr="00B824AA">
        <w:rPr>
          <w:rFonts w:ascii="Times New Roman" w:hAnsi="Times New Roman" w:cs="Times New Roman"/>
          <w:sz w:val="24"/>
          <w:szCs w:val="24"/>
        </w:rPr>
        <w:t xml:space="preserve">w tym </w:t>
      </w:r>
      <w:r w:rsidR="00F31D7C">
        <w:rPr>
          <w:rFonts w:ascii="Times New Roman" w:hAnsi="Times New Roman" w:cs="Times New Roman"/>
          <w:sz w:val="24"/>
          <w:szCs w:val="24"/>
        </w:rPr>
        <w:t>wymiarze do 2020 r., ale pogorszenie w 2021 r</w:t>
      </w:r>
      <w:r w:rsidRPr="00B824AA">
        <w:rPr>
          <w:rFonts w:ascii="Times New Roman" w:hAnsi="Times New Roman" w:cs="Times New Roman"/>
          <w:sz w:val="24"/>
          <w:szCs w:val="24"/>
        </w:rPr>
        <w:t xml:space="preserve">. </w:t>
      </w:r>
      <w:r w:rsidR="00AE6014">
        <w:rPr>
          <w:rFonts w:ascii="Times New Roman" w:hAnsi="Times New Roman" w:cs="Times New Roman"/>
          <w:sz w:val="24"/>
          <w:szCs w:val="24"/>
        </w:rPr>
        <w:t xml:space="preserve">i utrzymanie </w:t>
      </w:r>
      <w:r w:rsidR="00C8311B">
        <w:rPr>
          <w:rFonts w:ascii="Times New Roman" w:hAnsi="Times New Roman" w:cs="Times New Roman"/>
          <w:sz w:val="24"/>
          <w:szCs w:val="24"/>
        </w:rPr>
        <w:t xml:space="preserve">dystansu w 2022 r. </w:t>
      </w:r>
      <w:r w:rsidRPr="00B824AA">
        <w:rPr>
          <w:rFonts w:ascii="Times New Roman" w:hAnsi="Times New Roman" w:cs="Times New Roman"/>
          <w:sz w:val="24"/>
          <w:szCs w:val="24"/>
        </w:rPr>
        <w:t>W</w:t>
      </w:r>
      <w:r w:rsidR="00F31D7C">
        <w:rPr>
          <w:rFonts w:ascii="Times New Roman" w:hAnsi="Times New Roman" w:cs="Times New Roman"/>
          <w:sz w:val="24"/>
          <w:szCs w:val="24"/>
        </w:rPr>
        <w:t> </w:t>
      </w:r>
      <w:r w:rsidRPr="00B824AA">
        <w:rPr>
          <w:rFonts w:ascii="Times New Roman" w:hAnsi="Times New Roman" w:cs="Times New Roman"/>
          <w:sz w:val="24"/>
          <w:szCs w:val="24"/>
        </w:rPr>
        <w:t>202</w:t>
      </w:r>
      <w:r w:rsidR="00C8311B">
        <w:rPr>
          <w:rFonts w:ascii="Times New Roman" w:hAnsi="Times New Roman" w:cs="Times New Roman"/>
          <w:sz w:val="24"/>
          <w:szCs w:val="24"/>
        </w:rPr>
        <w:t>2</w:t>
      </w:r>
      <w:r w:rsidRPr="00B824AA">
        <w:rPr>
          <w:rFonts w:ascii="Times New Roman" w:hAnsi="Times New Roman" w:cs="Times New Roman"/>
          <w:sz w:val="24"/>
          <w:szCs w:val="24"/>
        </w:rPr>
        <w:t xml:space="preserve"> r. wskaźnik </w:t>
      </w:r>
      <w:r w:rsidR="00C8311B">
        <w:rPr>
          <w:rFonts w:ascii="Times New Roman" w:hAnsi="Times New Roman" w:cs="Times New Roman"/>
          <w:sz w:val="24"/>
          <w:szCs w:val="24"/>
        </w:rPr>
        <w:t>w tym wymiarze</w:t>
      </w:r>
      <w:r w:rsidRPr="00B824AA">
        <w:rPr>
          <w:rFonts w:ascii="Times New Roman" w:hAnsi="Times New Roman" w:cs="Times New Roman"/>
          <w:sz w:val="24"/>
          <w:szCs w:val="24"/>
        </w:rPr>
        <w:t xml:space="preserve"> wyniósł </w:t>
      </w:r>
      <w:r w:rsidR="00F31D7C">
        <w:rPr>
          <w:rFonts w:ascii="Times New Roman" w:hAnsi="Times New Roman" w:cs="Times New Roman"/>
          <w:sz w:val="24"/>
          <w:szCs w:val="24"/>
        </w:rPr>
        <w:t>6</w:t>
      </w:r>
      <w:r w:rsidR="00945E40">
        <w:rPr>
          <w:rFonts w:ascii="Times New Roman" w:hAnsi="Times New Roman" w:cs="Times New Roman"/>
          <w:sz w:val="24"/>
          <w:szCs w:val="24"/>
        </w:rPr>
        <w:t>8</w:t>
      </w:r>
      <w:r w:rsidRPr="00B824AA">
        <w:rPr>
          <w:rFonts w:ascii="Times New Roman" w:hAnsi="Times New Roman" w:cs="Times New Roman"/>
          <w:sz w:val="24"/>
          <w:szCs w:val="24"/>
        </w:rPr>
        <w:t xml:space="preserve"> procent</w:t>
      </w:r>
      <w:r w:rsidR="00F31D7C">
        <w:rPr>
          <w:rFonts w:ascii="Times New Roman" w:hAnsi="Times New Roman" w:cs="Times New Roman"/>
          <w:sz w:val="24"/>
          <w:szCs w:val="24"/>
        </w:rPr>
        <w:t xml:space="preserve"> w odniesieniu do krajów UE 27. O</w:t>
      </w:r>
      <w:r w:rsidRPr="00B824AA">
        <w:rPr>
          <w:rFonts w:ascii="Times New Roman" w:hAnsi="Times New Roman" w:cs="Times New Roman"/>
          <w:sz w:val="24"/>
          <w:szCs w:val="24"/>
        </w:rPr>
        <w:t xml:space="preserve">d 2010 </w:t>
      </w:r>
      <w:r w:rsidR="00F31D7C">
        <w:rPr>
          <w:rFonts w:ascii="Times New Roman" w:hAnsi="Times New Roman" w:cs="Times New Roman"/>
          <w:sz w:val="24"/>
          <w:szCs w:val="24"/>
        </w:rPr>
        <w:t>do 2020 </w:t>
      </w:r>
      <w:r w:rsidRPr="00B824AA">
        <w:rPr>
          <w:rFonts w:ascii="Times New Roman" w:hAnsi="Times New Roman" w:cs="Times New Roman"/>
          <w:sz w:val="24"/>
          <w:szCs w:val="24"/>
        </w:rPr>
        <w:t>r. jego wartość wzrosła o 1</w:t>
      </w:r>
      <w:r w:rsidR="00F31D7C">
        <w:rPr>
          <w:rFonts w:ascii="Times New Roman" w:hAnsi="Times New Roman" w:cs="Times New Roman"/>
          <w:sz w:val="24"/>
          <w:szCs w:val="24"/>
        </w:rPr>
        <w:t>6</w:t>
      </w:r>
      <w:r w:rsidRPr="00B824AA">
        <w:rPr>
          <w:rFonts w:ascii="Times New Roman" w:hAnsi="Times New Roman" w:cs="Times New Roman"/>
          <w:sz w:val="24"/>
          <w:szCs w:val="24"/>
        </w:rPr>
        <w:t xml:space="preserve"> punktów procentowych</w:t>
      </w:r>
      <w:r w:rsidR="00F31D7C">
        <w:rPr>
          <w:rFonts w:ascii="Times New Roman" w:hAnsi="Times New Roman" w:cs="Times New Roman"/>
          <w:sz w:val="24"/>
          <w:szCs w:val="24"/>
        </w:rPr>
        <w:t>,</w:t>
      </w:r>
      <w:r w:rsidR="002420F4">
        <w:rPr>
          <w:rFonts w:ascii="Times New Roman" w:hAnsi="Times New Roman" w:cs="Times New Roman"/>
          <w:sz w:val="24"/>
          <w:szCs w:val="24"/>
        </w:rPr>
        <w:t xml:space="preserve"> </w:t>
      </w:r>
      <w:r w:rsidR="00F31D7C">
        <w:rPr>
          <w:rFonts w:ascii="Times New Roman" w:hAnsi="Times New Roman" w:cs="Times New Roman"/>
          <w:sz w:val="24"/>
          <w:szCs w:val="24"/>
        </w:rPr>
        <w:t>w 2021 r. spadła o 9 punktów procentowych</w:t>
      </w:r>
      <w:r w:rsidR="002420F4">
        <w:rPr>
          <w:rFonts w:ascii="Times New Roman" w:hAnsi="Times New Roman" w:cs="Times New Roman"/>
          <w:sz w:val="24"/>
          <w:szCs w:val="24"/>
        </w:rPr>
        <w:t xml:space="preserve">, a w 2022 r. wzrosła o 1 </w:t>
      </w:r>
      <w:proofErr w:type="spellStart"/>
      <w:r w:rsidR="002420F4">
        <w:rPr>
          <w:rFonts w:ascii="Times New Roman" w:hAnsi="Times New Roman" w:cs="Times New Roman"/>
          <w:sz w:val="24"/>
          <w:szCs w:val="24"/>
        </w:rPr>
        <w:t>p.p</w:t>
      </w:r>
      <w:proofErr w:type="spellEnd"/>
      <w:r w:rsidR="002420F4">
        <w:rPr>
          <w:rFonts w:ascii="Times New Roman" w:hAnsi="Times New Roman" w:cs="Times New Roman"/>
          <w:sz w:val="24"/>
          <w:szCs w:val="24"/>
        </w:rPr>
        <w:t>.</w:t>
      </w:r>
      <w:r w:rsidRPr="00B824AA">
        <w:rPr>
          <w:rFonts w:ascii="Times New Roman" w:hAnsi="Times New Roman" w:cs="Times New Roman"/>
          <w:sz w:val="24"/>
          <w:szCs w:val="24"/>
        </w:rPr>
        <w:t xml:space="preserve">. </w:t>
      </w:r>
      <w:r w:rsidR="00AA6816">
        <w:rPr>
          <w:rFonts w:ascii="Times New Roman" w:hAnsi="Times New Roman" w:cs="Times New Roman"/>
          <w:sz w:val="24"/>
          <w:szCs w:val="24"/>
        </w:rPr>
        <w:lastRenderedPageBreak/>
        <w:t>Wartość wskaźnika pokazuje na utrzymujących się dystans Polski w tym wymiarze zarówno do krajów UE 14 (większy</w:t>
      </w:r>
      <w:r w:rsidR="0039692B">
        <w:rPr>
          <w:rFonts w:ascii="Times New Roman" w:hAnsi="Times New Roman" w:cs="Times New Roman"/>
          <w:sz w:val="24"/>
          <w:szCs w:val="24"/>
        </w:rPr>
        <w:t xml:space="preserve"> – wynoszący 34 punkty procentowe</w:t>
      </w:r>
      <w:r w:rsidR="00AA6816">
        <w:rPr>
          <w:rFonts w:ascii="Times New Roman" w:hAnsi="Times New Roman" w:cs="Times New Roman"/>
          <w:sz w:val="24"/>
          <w:szCs w:val="24"/>
        </w:rPr>
        <w:t>), jak i krajów UE 13 (mniejszy</w:t>
      </w:r>
      <w:r w:rsidR="0039692B">
        <w:rPr>
          <w:rFonts w:ascii="Times New Roman" w:hAnsi="Times New Roman" w:cs="Times New Roman"/>
          <w:sz w:val="24"/>
          <w:szCs w:val="24"/>
        </w:rPr>
        <w:t xml:space="preserve"> – wynoszący 22 punkty procentowe</w:t>
      </w:r>
      <w:r w:rsidR="00AA6816">
        <w:rPr>
          <w:rFonts w:ascii="Times New Roman" w:hAnsi="Times New Roman" w:cs="Times New Roman"/>
          <w:sz w:val="24"/>
          <w:szCs w:val="24"/>
        </w:rPr>
        <w:t>).</w:t>
      </w:r>
    </w:p>
    <w:p w14:paraId="5A715E33" w14:textId="33631F7C" w:rsidR="00BF0B60" w:rsidRPr="00B824AA" w:rsidRDefault="00243A0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Wskaźnik</w:t>
      </w:r>
      <w:r w:rsidR="00BF0B60" w:rsidRPr="00B824AA">
        <w:rPr>
          <w:rFonts w:ascii="Times New Roman" w:hAnsi="Times New Roman" w:cs="Times New Roman"/>
          <w:sz w:val="24"/>
          <w:szCs w:val="24"/>
        </w:rPr>
        <w:t xml:space="preserve"> </w:t>
      </w:r>
      <w:proofErr w:type="spellStart"/>
      <w:r w:rsidR="009B2D4F">
        <w:rPr>
          <w:rFonts w:ascii="Times New Roman" w:hAnsi="Times New Roman" w:cs="Times New Roman"/>
          <w:i/>
          <w:iCs/>
          <w:sz w:val="24"/>
          <w:szCs w:val="24"/>
        </w:rPr>
        <w:t>catch-up</w:t>
      </w:r>
      <w:proofErr w:type="spellEnd"/>
      <w:r w:rsidR="00BF0B60" w:rsidRPr="00B824AA">
        <w:rPr>
          <w:rFonts w:ascii="Times New Roman" w:hAnsi="Times New Roman" w:cs="Times New Roman"/>
          <w:i/>
          <w:iCs/>
          <w:sz w:val="24"/>
          <w:szCs w:val="24"/>
        </w:rPr>
        <w:t xml:space="preserve"> </w:t>
      </w:r>
      <w:r w:rsidR="00BF0B60" w:rsidRPr="00B824AA">
        <w:rPr>
          <w:rFonts w:ascii="Times New Roman" w:hAnsi="Times New Roman" w:cs="Times New Roman"/>
          <w:sz w:val="24"/>
          <w:szCs w:val="24"/>
        </w:rPr>
        <w:t xml:space="preserve">w </w:t>
      </w:r>
      <w:r w:rsidR="00F31D7C">
        <w:rPr>
          <w:rFonts w:ascii="Times New Roman" w:hAnsi="Times New Roman" w:cs="Times New Roman"/>
          <w:sz w:val="24"/>
          <w:szCs w:val="24"/>
        </w:rPr>
        <w:t>wymiarze</w:t>
      </w:r>
      <w:r w:rsidR="00BF0B60" w:rsidRPr="00B824AA">
        <w:rPr>
          <w:rFonts w:ascii="Times New Roman" w:hAnsi="Times New Roman" w:cs="Times New Roman"/>
          <w:sz w:val="24"/>
          <w:szCs w:val="24"/>
        </w:rPr>
        <w:t xml:space="preserve"> infrastruktura i transport obliczony na podstawie sześciu wskaźników cząstkowych, które obejmują takie elementy jak korzystanie z zasobów infrastrukturalnych (ze szczególnym uwzględnieniem zasobów odnawialnych), infrastruktur</w:t>
      </w:r>
      <w:r w:rsidR="00AA6816">
        <w:rPr>
          <w:rFonts w:ascii="Times New Roman" w:hAnsi="Times New Roman" w:cs="Times New Roman"/>
          <w:sz w:val="24"/>
          <w:szCs w:val="24"/>
        </w:rPr>
        <w:t>ę</w:t>
      </w:r>
      <w:r w:rsidR="00BF0B60" w:rsidRPr="00B824AA">
        <w:rPr>
          <w:rFonts w:ascii="Times New Roman" w:hAnsi="Times New Roman" w:cs="Times New Roman"/>
          <w:sz w:val="24"/>
          <w:szCs w:val="24"/>
        </w:rPr>
        <w:t xml:space="preserve"> transportow</w:t>
      </w:r>
      <w:r w:rsidR="00AA6816">
        <w:rPr>
          <w:rFonts w:ascii="Times New Roman" w:hAnsi="Times New Roman" w:cs="Times New Roman"/>
          <w:sz w:val="24"/>
          <w:szCs w:val="24"/>
        </w:rPr>
        <w:t>ą</w:t>
      </w:r>
      <w:r w:rsidR="00BF0B60" w:rsidRPr="00B824AA">
        <w:rPr>
          <w:rFonts w:ascii="Times New Roman" w:hAnsi="Times New Roman" w:cs="Times New Roman"/>
          <w:sz w:val="24"/>
          <w:szCs w:val="24"/>
        </w:rPr>
        <w:t>, a także infrastruktur</w:t>
      </w:r>
      <w:r w:rsidR="00AA6816">
        <w:rPr>
          <w:rFonts w:ascii="Times New Roman" w:hAnsi="Times New Roman" w:cs="Times New Roman"/>
          <w:sz w:val="24"/>
          <w:szCs w:val="24"/>
        </w:rPr>
        <w:t>ę</w:t>
      </w:r>
      <w:r w:rsidR="00BF0B60" w:rsidRPr="00B824AA">
        <w:rPr>
          <w:rFonts w:ascii="Times New Roman" w:hAnsi="Times New Roman" w:cs="Times New Roman"/>
          <w:sz w:val="24"/>
          <w:szCs w:val="24"/>
        </w:rPr>
        <w:t xml:space="preserve"> związan</w:t>
      </w:r>
      <w:r w:rsidR="00B47F5B">
        <w:rPr>
          <w:rFonts w:ascii="Times New Roman" w:hAnsi="Times New Roman" w:cs="Times New Roman"/>
          <w:sz w:val="24"/>
          <w:szCs w:val="24"/>
        </w:rPr>
        <w:t>ą</w:t>
      </w:r>
      <w:r w:rsidR="00BF0B60" w:rsidRPr="00B824AA">
        <w:rPr>
          <w:rFonts w:ascii="Times New Roman" w:hAnsi="Times New Roman" w:cs="Times New Roman"/>
          <w:sz w:val="24"/>
          <w:szCs w:val="24"/>
        </w:rPr>
        <w:t xml:space="preserve"> z dostępem do </w:t>
      </w:r>
      <w:r w:rsidR="00AA6816">
        <w:rPr>
          <w:rFonts w:ascii="Times New Roman" w:hAnsi="Times New Roman" w:cs="Times New Roman"/>
          <w:sz w:val="24"/>
          <w:szCs w:val="24"/>
        </w:rPr>
        <w:t>I</w:t>
      </w:r>
      <w:r w:rsidR="00BF0B60" w:rsidRPr="00B824AA">
        <w:rPr>
          <w:rFonts w:ascii="Times New Roman" w:hAnsi="Times New Roman" w:cs="Times New Roman"/>
          <w:sz w:val="24"/>
          <w:szCs w:val="24"/>
        </w:rPr>
        <w:t>nternetu</w:t>
      </w:r>
      <w:r w:rsidR="0081769E" w:rsidRPr="00B824AA">
        <w:rPr>
          <w:rFonts w:ascii="Times New Roman" w:hAnsi="Times New Roman" w:cs="Times New Roman"/>
          <w:sz w:val="24"/>
          <w:szCs w:val="24"/>
        </w:rPr>
        <w:t>.</w:t>
      </w:r>
    </w:p>
    <w:p w14:paraId="4A37BFCA" w14:textId="59910948"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Pierwszy wskaźnik w tym obszarze </w:t>
      </w:r>
      <w:r w:rsidR="00BB3E63">
        <w:rPr>
          <w:rFonts w:ascii="Times New Roman" w:hAnsi="Times New Roman" w:cs="Times New Roman"/>
          <w:sz w:val="24"/>
          <w:szCs w:val="24"/>
        </w:rPr>
        <w:t xml:space="preserve">związany </w:t>
      </w:r>
      <w:r w:rsidR="00F71B72">
        <w:rPr>
          <w:rFonts w:ascii="Times New Roman" w:hAnsi="Times New Roman" w:cs="Times New Roman"/>
          <w:sz w:val="24"/>
          <w:szCs w:val="24"/>
        </w:rPr>
        <w:t>jest ze</w:t>
      </w:r>
      <w:r w:rsidRPr="00B824AA">
        <w:rPr>
          <w:rFonts w:ascii="Times New Roman" w:hAnsi="Times New Roman" w:cs="Times New Roman"/>
          <w:sz w:val="24"/>
          <w:szCs w:val="24"/>
        </w:rPr>
        <w:t xml:space="preserve"> zużyci</w:t>
      </w:r>
      <w:r w:rsidR="00F71B72">
        <w:rPr>
          <w:rFonts w:ascii="Times New Roman" w:hAnsi="Times New Roman" w:cs="Times New Roman"/>
          <w:sz w:val="24"/>
          <w:szCs w:val="24"/>
        </w:rPr>
        <w:t>em</w:t>
      </w:r>
      <w:r w:rsidRPr="00B824AA">
        <w:rPr>
          <w:rFonts w:ascii="Times New Roman" w:hAnsi="Times New Roman" w:cs="Times New Roman"/>
          <w:sz w:val="24"/>
          <w:szCs w:val="24"/>
        </w:rPr>
        <w:t xml:space="preserve"> wody. Wykorzystany jest tutaj Wskaźnik Zużycia Wody plus (WEI+), który jest miarą całkowitego zużycia wody słodkiej jako procent odnawialnych zasobów wody słodkiej (wody gruntowe i powierzchniowe) w</w:t>
      </w:r>
      <w:r w:rsidR="00AA6816">
        <w:rPr>
          <w:rFonts w:ascii="Times New Roman" w:hAnsi="Times New Roman" w:cs="Times New Roman"/>
          <w:sz w:val="24"/>
          <w:szCs w:val="24"/>
        </w:rPr>
        <w:t> </w:t>
      </w:r>
      <w:r w:rsidRPr="00B824AA">
        <w:rPr>
          <w:rFonts w:ascii="Times New Roman" w:hAnsi="Times New Roman" w:cs="Times New Roman"/>
          <w:sz w:val="24"/>
          <w:szCs w:val="24"/>
        </w:rPr>
        <w:t xml:space="preserve">danym czasie i miejscu. Określa on ilościowo, ile wody jest pobierane i ile wody jest zwracane po wykorzystaniu do środowiska. Różnica między poborem a zwrotem wody jest traktowana jako zużycie wody i obrazuje presję na odnawialne zasoby słodkiej wody wynikającą z zapotrzebowania na wodę. </w:t>
      </w:r>
      <w:r w:rsidR="004935E9">
        <w:rPr>
          <w:rFonts w:ascii="Times New Roman" w:hAnsi="Times New Roman" w:cs="Times New Roman"/>
          <w:sz w:val="24"/>
          <w:szCs w:val="24"/>
        </w:rPr>
        <w:t>Z</w:t>
      </w:r>
      <w:r w:rsidRPr="00B824AA">
        <w:rPr>
          <w:rFonts w:ascii="Times New Roman" w:hAnsi="Times New Roman" w:cs="Times New Roman"/>
          <w:sz w:val="24"/>
          <w:szCs w:val="24"/>
        </w:rPr>
        <w:t>użycie wody w Polsce wywiera znacznie większą presję na odnawialne zasoby wod</w:t>
      </w:r>
      <w:r w:rsidR="00273688">
        <w:rPr>
          <w:rFonts w:ascii="Times New Roman" w:hAnsi="Times New Roman" w:cs="Times New Roman"/>
          <w:sz w:val="24"/>
          <w:szCs w:val="24"/>
        </w:rPr>
        <w:t>794511</w:t>
      </w:r>
      <w:r w:rsidRPr="00B824AA">
        <w:rPr>
          <w:rFonts w:ascii="Times New Roman" w:hAnsi="Times New Roman" w:cs="Times New Roman"/>
          <w:sz w:val="24"/>
          <w:szCs w:val="24"/>
        </w:rPr>
        <w:t>y niż w innych krajach</w:t>
      </w:r>
      <w:r w:rsidR="004935E9">
        <w:rPr>
          <w:rFonts w:ascii="Times New Roman" w:hAnsi="Times New Roman" w:cs="Times New Roman"/>
          <w:sz w:val="24"/>
          <w:szCs w:val="24"/>
        </w:rPr>
        <w:t>.</w:t>
      </w:r>
      <w:r w:rsidRPr="00B824AA">
        <w:rPr>
          <w:rFonts w:ascii="Times New Roman" w:hAnsi="Times New Roman" w:cs="Times New Roman"/>
          <w:sz w:val="24"/>
          <w:szCs w:val="24"/>
        </w:rPr>
        <w:t xml:space="preserve"> </w:t>
      </w:r>
      <w:r w:rsidR="004935E9">
        <w:rPr>
          <w:rFonts w:ascii="Times New Roman" w:hAnsi="Times New Roman" w:cs="Times New Roman"/>
          <w:sz w:val="24"/>
          <w:szCs w:val="24"/>
        </w:rPr>
        <w:t>W</w:t>
      </w:r>
      <w:r w:rsidRPr="00B824AA">
        <w:rPr>
          <w:rFonts w:ascii="Times New Roman" w:hAnsi="Times New Roman" w:cs="Times New Roman"/>
          <w:sz w:val="24"/>
          <w:szCs w:val="24"/>
        </w:rPr>
        <w:t>artość wskaźnika cząstkowego w 202</w:t>
      </w:r>
      <w:r w:rsidR="00BD19DC">
        <w:rPr>
          <w:rFonts w:ascii="Times New Roman" w:hAnsi="Times New Roman" w:cs="Times New Roman"/>
          <w:sz w:val="24"/>
          <w:szCs w:val="24"/>
        </w:rPr>
        <w:t xml:space="preserve">1 r. </w:t>
      </w:r>
      <w:r w:rsidR="00E1695E">
        <w:rPr>
          <w:rFonts w:ascii="Times New Roman" w:hAnsi="Times New Roman" w:cs="Times New Roman"/>
          <w:sz w:val="24"/>
          <w:szCs w:val="24"/>
        </w:rPr>
        <w:t xml:space="preserve">znacząco się pogorszyła i </w:t>
      </w:r>
      <w:r w:rsidR="00E013AF">
        <w:rPr>
          <w:rFonts w:ascii="Times New Roman" w:hAnsi="Times New Roman" w:cs="Times New Roman"/>
          <w:sz w:val="24"/>
          <w:szCs w:val="24"/>
        </w:rPr>
        <w:t>wynosiła 19 procent (w porównaniu do 46 procent w 2020 r.)</w:t>
      </w:r>
      <w:r w:rsidR="00E1695E">
        <w:rPr>
          <w:rFonts w:ascii="Times New Roman" w:hAnsi="Times New Roman" w:cs="Times New Roman"/>
          <w:sz w:val="24"/>
          <w:szCs w:val="24"/>
        </w:rPr>
        <w:t xml:space="preserve">. Jest to skutkiem wzrostu zapotrzebowania na wodę w </w:t>
      </w:r>
      <w:r w:rsidR="00A21E1B">
        <w:rPr>
          <w:rFonts w:ascii="Times New Roman" w:hAnsi="Times New Roman" w:cs="Times New Roman"/>
          <w:sz w:val="24"/>
          <w:szCs w:val="24"/>
        </w:rPr>
        <w:t xml:space="preserve">Polsce, podczas gdy przeciętnie w krajach UE 27 </w:t>
      </w:r>
      <w:r w:rsidR="00606347">
        <w:rPr>
          <w:rFonts w:ascii="Times New Roman" w:hAnsi="Times New Roman" w:cs="Times New Roman"/>
          <w:sz w:val="24"/>
          <w:szCs w:val="24"/>
        </w:rPr>
        <w:t xml:space="preserve">zapotrzebowanie to </w:t>
      </w:r>
      <w:r w:rsidR="00A21E1B">
        <w:rPr>
          <w:rFonts w:ascii="Times New Roman" w:hAnsi="Times New Roman" w:cs="Times New Roman"/>
          <w:sz w:val="24"/>
          <w:szCs w:val="24"/>
        </w:rPr>
        <w:t>spadło</w:t>
      </w:r>
      <w:r w:rsidRPr="00B824AA">
        <w:rPr>
          <w:rFonts w:ascii="Times New Roman" w:hAnsi="Times New Roman" w:cs="Times New Roman"/>
          <w:sz w:val="24"/>
          <w:szCs w:val="24"/>
        </w:rPr>
        <w:t xml:space="preserve">. Jednocześnie warto podkreślić, że znaczący dystans dzieli Polskę zarówno od krajów </w:t>
      </w:r>
      <w:r w:rsidR="0081769E" w:rsidRPr="00B824AA">
        <w:rPr>
          <w:rFonts w:ascii="Times New Roman" w:hAnsi="Times New Roman" w:cs="Times New Roman"/>
          <w:sz w:val="24"/>
          <w:szCs w:val="24"/>
        </w:rPr>
        <w:t>UE 14</w:t>
      </w:r>
      <w:r w:rsidRPr="00B824AA">
        <w:rPr>
          <w:rFonts w:ascii="Times New Roman" w:hAnsi="Times New Roman" w:cs="Times New Roman"/>
          <w:sz w:val="24"/>
          <w:szCs w:val="24"/>
        </w:rPr>
        <w:t xml:space="preserve">, jak i </w:t>
      </w:r>
      <w:r w:rsidR="0081769E" w:rsidRPr="00B824AA">
        <w:rPr>
          <w:rFonts w:ascii="Times New Roman" w:hAnsi="Times New Roman" w:cs="Times New Roman"/>
          <w:sz w:val="24"/>
          <w:szCs w:val="24"/>
        </w:rPr>
        <w:t>UE</w:t>
      </w:r>
      <w:r w:rsidR="00A21E1B">
        <w:rPr>
          <w:rFonts w:ascii="Times New Roman" w:hAnsi="Times New Roman" w:cs="Times New Roman"/>
          <w:sz w:val="24"/>
          <w:szCs w:val="24"/>
        </w:rPr>
        <w:t xml:space="preserve"> 13</w:t>
      </w:r>
      <w:r w:rsidR="00606347">
        <w:rPr>
          <w:rFonts w:ascii="Times New Roman" w:hAnsi="Times New Roman" w:cs="Times New Roman"/>
          <w:sz w:val="24"/>
          <w:szCs w:val="24"/>
        </w:rPr>
        <w:t xml:space="preserve">, a odpowiednie wskaźniki wynosiły </w:t>
      </w:r>
      <w:r w:rsidR="00FC0327">
        <w:rPr>
          <w:rFonts w:ascii="Times New Roman" w:hAnsi="Times New Roman" w:cs="Times New Roman"/>
          <w:sz w:val="24"/>
          <w:szCs w:val="24"/>
        </w:rPr>
        <w:t>1</w:t>
      </w:r>
      <w:r w:rsidR="00727C80">
        <w:rPr>
          <w:rFonts w:ascii="Times New Roman" w:hAnsi="Times New Roman" w:cs="Times New Roman"/>
          <w:sz w:val="24"/>
          <w:szCs w:val="24"/>
        </w:rPr>
        <w:t>8</w:t>
      </w:r>
      <w:r w:rsidR="00FC0327">
        <w:rPr>
          <w:rFonts w:ascii="Times New Roman" w:hAnsi="Times New Roman" w:cs="Times New Roman"/>
          <w:sz w:val="24"/>
          <w:szCs w:val="24"/>
        </w:rPr>
        <w:t xml:space="preserve"> i 19 procent</w:t>
      </w:r>
      <w:r w:rsidR="00A21E1B">
        <w:rPr>
          <w:rFonts w:ascii="Times New Roman" w:hAnsi="Times New Roman" w:cs="Times New Roman"/>
          <w:sz w:val="24"/>
          <w:szCs w:val="24"/>
        </w:rPr>
        <w:t>.</w:t>
      </w:r>
    </w:p>
    <w:p w14:paraId="57C58C7C" w14:textId="4FF54F15"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Drugim wskaźnikiem wykorzystanym w </w:t>
      </w:r>
      <w:r w:rsidR="00A21E1B">
        <w:rPr>
          <w:rFonts w:ascii="Times New Roman" w:hAnsi="Times New Roman" w:cs="Times New Roman"/>
          <w:sz w:val="24"/>
          <w:szCs w:val="24"/>
        </w:rPr>
        <w:t>wymiarze</w:t>
      </w:r>
      <w:r w:rsidRPr="00B824AA">
        <w:rPr>
          <w:rFonts w:ascii="Times New Roman" w:hAnsi="Times New Roman" w:cs="Times New Roman"/>
          <w:sz w:val="24"/>
          <w:szCs w:val="24"/>
        </w:rPr>
        <w:t xml:space="preserve"> transport i infrastruktura jest wskaźnik energii odnawialnej, rozumiany jako udział procentowy zużycia energii odnawialnej w</w:t>
      </w:r>
      <w:r w:rsidR="0081769E" w:rsidRPr="00B824AA">
        <w:rPr>
          <w:rFonts w:ascii="Times New Roman" w:hAnsi="Times New Roman" w:cs="Times New Roman"/>
          <w:sz w:val="24"/>
          <w:szCs w:val="24"/>
        </w:rPr>
        <w:t> </w:t>
      </w:r>
      <w:r w:rsidRPr="00B824AA">
        <w:rPr>
          <w:rFonts w:ascii="Times New Roman" w:hAnsi="Times New Roman" w:cs="Times New Roman"/>
          <w:sz w:val="24"/>
          <w:szCs w:val="24"/>
        </w:rPr>
        <w:t>końcowym zużyciu energii brutto.</w:t>
      </w:r>
      <w:r w:rsidRPr="00B824AA">
        <w:rPr>
          <w:rStyle w:val="FootnoteReference"/>
          <w:rFonts w:ascii="Times New Roman" w:hAnsi="Times New Roman" w:cs="Times New Roman"/>
          <w:sz w:val="24"/>
          <w:szCs w:val="24"/>
        </w:rPr>
        <w:footnoteReference w:id="7"/>
      </w:r>
      <w:r w:rsidRPr="00B824AA">
        <w:rPr>
          <w:rFonts w:ascii="Times New Roman" w:hAnsi="Times New Roman" w:cs="Times New Roman"/>
          <w:sz w:val="24"/>
          <w:szCs w:val="24"/>
        </w:rPr>
        <w:t xml:space="preserve"> W przypadku tego wskaźnika następuje stopniowa poprawa. W 202</w:t>
      </w:r>
      <w:r w:rsidR="00FC0327">
        <w:rPr>
          <w:rFonts w:ascii="Times New Roman" w:hAnsi="Times New Roman" w:cs="Times New Roman"/>
          <w:sz w:val="24"/>
          <w:szCs w:val="24"/>
        </w:rPr>
        <w:t>2</w:t>
      </w:r>
      <w:r w:rsidRPr="00B824AA">
        <w:rPr>
          <w:rFonts w:ascii="Times New Roman" w:hAnsi="Times New Roman" w:cs="Times New Roman"/>
          <w:sz w:val="24"/>
          <w:szCs w:val="24"/>
        </w:rPr>
        <w:t xml:space="preserve"> r. wykorzystanie energii odnawialnej w Polsce było na poziomie 7</w:t>
      </w:r>
      <w:r w:rsidR="00FC0327">
        <w:rPr>
          <w:rFonts w:ascii="Times New Roman" w:hAnsi="Times New Roman" w:cs="Times New Roman"/>
          <w:sz w:val="24"/>
          <w:szCs w:val="24"/>
        </w:rPr>
        <w:t>5</w:t>
      </w:r>
      <w:r w:rsidR="00AF22DE">
        <w:rPr>
          <w:rFonts w:ascii="Times New Roman" w:hAnsi="Times New Roman" w:cs="Times New Roman"/>
          <w:sz w:val="24"/>
          <w:szCs w:val="24"/>
        </w:rPr>
        <w:t xml:space="preserve"> procent </w:t>
      </w:r>
      <w:r w:rsidRPr="00B824AA">
        <w:rPr>
          <w:rFonts w:ascii="Times New Roman" w:hAnsi="Times New Roman" w:cs="Times New Roman"/>
          <w:sz w:val="24"/>
          <w:szCs w:val="24"/>
        </w:rPr>
        <w:t>średniej w krajach UE 2</w:t>
      </w:r>
      <w:r w:rsidR="00AF22DE">
        <w:rPr>
          <w:rFonts w:ascii="Times New Roman" w:hAnsi="Times New Roman" w:cs="Times New Roman"/>
          <w:sz w:val="24"/>
          <w:szCs w:val="24"/>
        </w:rPr>
        <w:t>7</w:t>
      </w:r>
      <w:r w:rsidRPr="00B824AA">
        <w:rPr>
          <w:rFonts w:ascii="Times New Roman" w:hAnsi="Times New Roman" w:cs="Times New Roman"/>
          <w:sz w:val="24"/>
          <w:szCs w:val="24"/>
        </w:rPr>
        <w:t xml:space="preserve">, co oznacza poprawę o </w:t>
      </w:r>
      <w:r w:rsidR="00FC0327">
        <w:rPr>
          <w:rFonts w:ascii="Times New Roman" w:hAnsi="Times New Roman" w:cs="Times New Roman"/>
          <w:sz w:val="24"/>
          <w:szCs w:val="24"/>
        </w:rPr>
        <w:t>9</w:t>
      </w:r>
      <w:r w:rsidRPr="00B824AA">
        <w:rPr>
          <w:rFonts w:ascii="Times New Roman" w:hAnsi="Times New Roman" w:cs="Times New Roman"/>
          <w:sz w:val="24"/>
          <w:szCs w:val="24"/>
        </w:rPr>
        <w:t xml:space="preserve"> punktów procentowych w porównaniu do 2010 r.</w:t>
      </w:r>
      <w:r w:rsidR="00FC0327">
        <w:rPr>
          <w:rFonts w:ascii="Times New Roman" w:hAnsi="Times New Roman" w:cs="Times New Roman"/>
          <w:sz w:val="24"/>
          <w:szCs w:val="24"/>
        </w:rPr>
        <w:t xml:space="preserve">, a o 2 punkty procentowe w porównaniu do </w:t>
      </w:r>
      <w:r w:rsidR="007F1B71">
        <w:rPr>
          <w:rFonts w:ascii="Times New Roman" w:hAnsi="Times New Roman" w:cs="Times New Roman"/>
          <w:sz w:val="24"/>
          <w:szCs w:val="24"/>
        </w:rPr>
        <w:t>2021 r.</w:t>
      </w:r>
      <w:r w:rsidRPr="00B824AA">
        <w:rPr>
          <w:rFonts w:ascii="Times New Roman" w:hAnsi="Times New Roman" w:cs="Times New Roman"/>
          <w:sz w:val="24"/>
          <w:szCs w:val="24"/>
        </w:rPr>
        <w:t xml:space="preserve"> </w:t>
      </w:r>
      <w:r w:rsidR="00AF22DE">
        <w:rPr>
          <w:rFonts w:ascii="Times New Roman" w:hAnsi="Times New Roman" w:cs="Times New Roman"/>
          <w:sz w:val="24"/>
          <w:szCs w:val="24"/>
        </w:rPr>
        <w:t>Wyższy dystans w przypadku tego wskaźnika dzieli Polskę od krajów</w:t>
      </w:r>
      <w:r w:rsidRPr="00B824AA">
        <w:rPr>
          <w:rFonts w:ascii="Times New Roman" w:hAnsi="Times New Roman" w:cs="Times New Roman"/>
          <w:sz w:val="24"/>
          <w:szCs w:val="24"/>
        </w:rPr>
        <w:t xml:space="preserve"> </w:t>
      </w:r>
      <w:r w:rsidR="0081769E" w:rsidRPr="00B824AA">
        <w:rPr>
          <w:rFonts w:ascii="Times New Roman" w:hAnsi="Times New Roman" w:cs="Times New Roman"/>
          <w:sz w:val="24"/>
          <w:szCs w:val="24"/>
        </w:rPr>
        <w:t xml:space="preserve">UE 14 </w:t>
      </w:r>
      <w:r w:rsidR="00AF22DE">
        <w:rPr>
          <w:rFonts w:ascii="Times New Roman" w:hAnsi="Times New Roman" w:cs="Times New Roman"/>
          <w:sz w:val="24"/>
          <w:szCs w:val="24"/>
        </w:rPr>
        <w:t xml:space="preserve">niż </w:t>
      </w:r>
      <w:r w:rsidR="0081769E" w:rsidRPr="00B824AA">
        <w:rPr>
          <w:rFonts w:ascii="Times New Roman" w:hAnsi="Times New Roman" w:cs="Times New Roman"/>
          <w:sz w:val="24"/>
          <w:szCs w:val="24"/>
        </w:rPr>
        <w:t>UE</w:t>
      </w:r>
      <w:r w:rsidR="00AF22DE">
        <w:rPr>
          <w:rFonts w:ascii="Times New Roman" w:hAnsi="Times New Roman" w:cs="Times New Roman"/>
          <w:sz w:val="24"/>
          <w:szCs w:val="24"/>
        </w:rPr>
        <w:t xml:space="preserve"> 13 (odpowiednio </w:t>
      </w:r>
      <w:r w:rsidR="00303231">
        <w:rPr>
          <w:rFonts w:ascii="Times New Roman" w:hAnsi="Times New Roman" w:cs="Times New Roman"/>
          <w:sz w:val="24"/>
          <w:szCs w:val="24"/>
        </w:rPr>
        <w:t>2</w:t>
      </w:r>
      <w:r w:rsidR="007F1B71">
        <w:rPr>
          <w:rFonts w:ascii="Times New Roman" w:hAnsi="Times New Roman" w:cs="Times New Roman"/>
          <w:sz w:val="24"/>
          <w:szCs w:val="24"/>
        </w:rPr>
        <w:t>5</w:t>
      </w:r>
      <w:r w:rsidR="00303231">
        <w:rPr>
          <w:rFonts w:ascii="Times New Roman" w:hAnsi="Times New Roman" w:cs="Times New Roman"/>
          <w:sz w:val="24"/>
          <w:szCs w:val="24"/>
        </w:rPr>
        <w:t xml:space="preserve"> i </w:t>
      </w:r>
      <w:r w:rsidR="007F1B71">
        <w:rPr>
          <w:rFonts w:ascii="Times New Roman" w:hAnsi="Times New Roman" w:cs="Times New Roman"/>
          <w:sz w:val="24"/>
          <w:szCs w:val="24"/>
        </w:rPr>
        <w:t>17</w:t>
      </w:r>
      <w:r w:rsidR="00303231">
        <w:rPr>
          <w:rFonts w:ascii="Times New Roman" w:hAnsi="Times New Roman" w:cs="Times New Roman"/>
          <w:sz w:val="24"/>
          <w:szCs w:val="24"/>
        </w:rPr>
        <w:t xml:space="preserve"> punktów procentowych)</w:t>
      </w:r>
      <w:r w:rsidRPr="00B824AA">
        <w:rPr>
          <w:rFonts w:ascii="Times New Roman" w:hAnsi="Times New Roman" w:cs="Times New Roman"/>
          <w:sz w:val="24"/>
          <w:szCs w:val="24"/>
        </w:rPr>
        <w:t>.</w:t>
      </w:r>
    </w:p>
    <w:p w14:paraId="50AB64A9" w14:textId="1BA8562C"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Kolejne dwa wskaźniki związane są z infrastrukturą transportową. W przypadku transportu kolejowego, wykorzystany jest wskaźnik mierzący udział procentowy długości </w:t>
      </w:r>
      <w:r w:rsidRPr="00B824AA">
        <w:rPr>
          <w:rFonts w:ascii="Times New Roman" w:hAnsi="Times New Roman" w:cs="Times New Roman"/>
          <w:sz w:val="24"/>
          <w:szCs w:val="24"/>
        </w:rPr>
        <w:lastRenderedPageBreak/>
        <w:t xml:space="preserve">zelektryfikowanych torów kolejowych w długości torów kolejowych ogółem. Polska w tym przypadku prezentuje się korzystnie – udział długości zelektryfikowanych torów kolejowych jest wyższy niż w krajach UE </w:t>
      </w:r>
      <w:r w:rsidR="0081769E" w:rsidRPr="00B824AA">
        <w:rPr>
          <w:rFonts w:ascii="Times New Roman" w:hAnsi="Times New Roman" w:cs="Times New Roman"/>
          <w:sz w:val="24"/>
          <w:szCs w:val="24"/>
        </w:rPr>
        <w:t>27</w:t>
      </w:r>
      <w:r w:rsidR="007F1B71">
        <w:rPr>
          <w:rFonts w:ascii="Times New Roman" w:hAnsi="Times New Roman" w:cs="Times New Roman"/>
          <w:sz w:val="24"/>
          <w:szCs w:val="24"/>
        </w:rPr>
        <w:t xml:space="preserve"> i wynosił 110 procent w 2022 r</w:t>
      </w:r>
      <w:r w:rsidRPr="00B824AA">
        <w:rPr>
          <w:rFonts w:ascii="Times New Roman" w:hAnsi="Times New Roman" w:cs="Times New Roman"/>
          <w:sz w:val="24"/>
          <w:szCs w:val="24"/>
        </w:rPr>
        <w:t xml:space="preserve">. Wyższa wartość wskaźnika obserwowana jest w przypadku krajów </w:t>
      </w:r>
      <w:r w:rsidR="0081769E" w:rsidRPr="00B824AA">
        <w:rPr>
          <w:rFonts w:ascii="Times New Roman" w:hAnsi="Times New Roman" w:cs="Times New Roman"/>
          <w:sz w:val="24"/>
          <w:szCs w:val="24"/>
        </w:rPr>
        <w:t>UE 13</w:t>
      </w:r>
      <w:r w:rsidR="007F1B71">
        <w:rPr>
          <w:rFonts w:ascii="Times New Roman" w:hAnsi="Times New Roman" w:cs="Times New Roman"/>
          <w:sz w:val="24"/>
          <w:szCs w:val="24"/>
        </w:rPr>
        <w:t xml:space="preserve"> (138 procent w 2022 r., </w:t>
      </w:r>
      <w:r w:rsidR="00156FC1">
        <w:rPr>
          <w:rFonts w:ascii="Times New Roman" w:hAnsi="Times New Roman" w:cs="Times New Roman"/>
          <w:sz w:val="24"/>
          <w:szCs w:val="24"/>
        </w:rPr>
        <w:t xml:space="preserve">wzrost o 11 punktów procentowych w porównaniu do 2021 r.). W </w:t>
      </w:r>
      <w:r w:rsidRPr="00B824AA">
        <w:rPr>
          <w:rFonts w:ascii="Times New Roman" w:hAnsi="Times New Roman" w:cs="Times New Roman"/>
          <w:sz w:val="24"/>
          <w:szCs w:val="24"/>
        </w:rPr>
        <w:t>przypadku</w:t>
      </w:r>
      <w:r w:rsidR="0081769E" w:rsidRPr="00B824AA">
        <w:rPr>
          <w:rFonts w:ascii="Times New Roman" w:hAnsi="Times New Roman" w:cs="Times New Roman"/>
          <w:sz w:val="24"/>
          <w:szCs w:val="24"/>
        </w:rPr>
        <w:t xml:space="preserve"> krajów UE 14</w:t>
      </w:r>
      <w:r w:rsidR="00156FC1">
        <w:rPr>
          <w:rFonts w:ascii="Times New Roman" w:hAnsi="Times New Roman" w:cs="Times New Roman"/>
          <w:sz w:val="24"/>
          <w:szCs w:val="24"/>
        </w:rPr>
        <w:t xml:space="preserve"> w 2022 r. wskaźnik się pogorszył i był na poziomie średniej – 100 procent, podczas gdy w 2009 r. wynosił 109 procent</w:t>
      </w:r>
      <w:r w:rsidR="0081769E" w:rsidRPr="00B824AA">
        <w:rPr>
          <w:rFonts w:ascii="Times New Roman" w:hAnsi="Times New Roman" w:cs="Times New Roman"/>
          <w:sz w:val="24"/>
          <w:szCs w:val="24"/>
        </w:rPr>
        <w:t>.</w:t>
      </w:r>
      <w:r w:rsidRPr="00B824AA">
        <w:rPr>
          <w:rFonts w:ascii="Times New Roman" w:hAnsi="Times New Roman" w:cs="Times New Roman"/>
          <w:sz w:val="24"/>
          <w:szCs w:val="24"/>
        </w:rPr>
        <w:t xml:space="preserve"> </w:t>
      </w:r>
    </w:p>
    <w:p w14:paraId="5A418BA6" w14:textId="35F73915"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Wskaźnik związany z bezpieczeństwem transportu drogowego odnosi się do liczby ofiar śmiertelnych wypadków drogowych, w tym kierowców i pasażerów pojazdów silnikowych i</w:t>
      </w:r>
      <w:r w:rsidR="00303231">
        <w:rPr>
          <w:rFonts w:ascii="Times New Roman" w:hAnsi="Times New Roman" w:cs="Times New Roman"/>
          <w:sz w:val="24"/>
          <w:szCs w:val="24"/>
        </w:rPr>
        <w:t> </w:t>
      </w:r>
      <w:r w:rsidRPr="00B824AA">
        <w:rPr>
          <w:rFonts w:ascii="Times New Roman" w:hAnsi="Times New Roman" w:cs="Times New Roman"/>
          <w:sz w:val="24"/>
          <w:szCs w:val="24"/>
        </w:rPr>
        <w:t>rowerów wodnych oraz pieszych na 100</w:t>
      </w:r>
      <w:r w:rsidR="0081769E" w:rsidRPr="00B824AA">
        <w:rPr>
          <w:rFonts w:ascii="Times New Roman" w:hAnsi="Times New Roman" w:cs="Times New Roman"/>
          <w:sz w:val="24"/>
          <w:szCs w:val="24"/>
        </w:rPr>
        <w:t> </w:t>
      </w:r>
      <w:r w:rsidRPr="00B824AA">
        <w:rPr>
          <w:rFonts w:ascii="Times New Roman" w:hAnsi="Times New Roman" w:cs="Times New Roman"/>
          <w:sz w:val="24"/>
          <w:szCs w:val="24"/>
        </w:rPr>
        <w:t xml:space="preserve">000 osób. Wskaźnik ten wskazuje na </w:t>
      </w:r>
      <w:r w:rsidR="00BC269F">
        <w:rPr>
          <w:rFonts w:ascii="Times New Roman" w:hAnsi="Times New Roman" w:cs="Times New Roman"/>
          <w:sz w:val="24"/>
          <w:szCs w:val="24"/>
        </w:rPr>
        <w:t>stopniowo zmniejszającą się lukę</w:t>
      </w:r>
      <w:r w:rsidRPr="00B824AA">
        <w:rPr>
          <w:rFonts w:ascii="Times New Roman" w:hAnsi="Times New Roman" w:cs="Times New Roman"/>
          <w:sz w:val="24"/>
          <w:szCs w:val="24"/>
        </w:rPr>
        <w:t xml:space="preserve"> </w:t>
      </w:r>
      <w:proofErr w:type="spellStart"/>
      <w:r w:rsidRPr="00B824AA">
        <w:rPr>
          <w:rFonts w:ascii="Times New Roman" w:hAnsi="Times New Roman" w:cs="Times New Roman"/>
          <w:sz w:val="24"/>
          <w:szCs w:val="24"/>
        </w:rPr>
        <w:t>lukę</w:t>
      </w:r>
      <w:proofErr w:type="spellEnd"/>
      <w:r w:rsidRPr="00B824AA">
        <w:rPr>
          <w:rFonts w:ascii="Times New Roman" w:hAnsi="Times New Roman" w:cs="Times New Roman"/>
          <w:sz w:val="24"/>
          <w:szCs w:val="24"/>
        </w:rPr>
        <w:t xml:space="preserve"> w tym aspekcie jakości infrastruktury. </w:t>
      </w:r>
      <w:r w:rsidR="00BC269F">
        <w:rPr>
          <w:rFonts w:ascii="Times New Roman" w:hAnsi="Times New Roman" w:cs="Times New Roman"/>
          <w:sz w:val="24"/>
          <w:szCs w:val="24"/>
        </w:rPr>
        <w:t xml:space="preserve">Rok </w:t>
      </w:r>
      <w:r w:rsidRPr="00B824AA">
        <w:rPr>
          <w:rFonts w:ascii="Times New Roman" w:hAnsi="Times New Roman" w:cs="Times New Roman"/>
          <w:sz w:val="24"/>
          <w:szCs w:val="24"/>
        </w:rPr>
        <w:t>202</w:t>
      </w:r>
      <w:r w:rsidR="00BC269F">
        <w:rPr>
          <w:rFonts w:ascii="Times New Roman" w:hAnsi="Times New Roman" w:cs="Times New Roman"/>
          <w:sz w:val="24"/>
          <w:szCs w:val="24"/>
        </w:rPr>
        <w:t>2</w:t>
      </w:r>
      <w:r w:rsidRPr="00B824AA">
        <w:rPr>
          <w:rFonts w:ascii="Times New Roman" w:hAnsi="Times New Roman" w:cs="Times New Roman"/>
          <w:sz w:val="24"/>
          <w:szCs w:val="24"/>
        </w:rPr>
        <w:t xml:space="preserve"> </w:t>
      </w:r>
      <w:r w:rsidR="00BC269F">
        <w:rPr>
          <w:rFonts w:ascii="Times New Roman" w:hAnsi="Times New Roman" w:cs="Times New Roman"/>
          <w:sz w:val="24"/>
          <w:szCs w:val="24"/>
        </w:rPr>
        <w:t>był kolejnym rokiem, w którym</w:t>
      </w:r>
      <w:r w:rsidRPr="00B824AA">
        <w:rPr>
          <w:rFonts w:ascii="Times New Roman" w:hAnsi="Times New Roman" w:cs="Times New Roman"/>
          <w:sz w:val="24"/>
          <w:szCs w:val="24"/>
        </w:rPr>
        <w:t xml:space="preserve"> wartość </w:t>
      </w:r>
      <w:r w:rsidR="00BC269F">
        <w:rPr>
          <w:rFonts w:ascii="Times New Roman" w:hAnsi="Times New Roman" w:cs="Times New Roman"/>
          <w:sz w:val="24"/>
          <w:szCs w:val="24"/>
        </w:rPr>
        <w:t xml:space="preserve">tego </w:t>
      </w:r>
      <w:r w:rsidRPr="00B824AA">
        <w:rPr>
          <w:rFonts w:ascii="Times New Roman" w:hAnsi="Times New Roman" w:cs="Times New Roman"/>
          <w:sz w:val="24"/>
          <w:szCs w:val="24"/>
        </w:rPr>
        <w:t xml:space="preserve">wskaźnika w relacji do krajów UE </w:t>
      </w:r>
      <w:r w:rsidR="00303231">
        <w:rPr>
          <w:rFonts w:ascii="Times New Roman" w:hAnsi="Times New Roman" w:cs="Times New Roman"/>
          <w:sz w:val="24"/>
          <w:szCs w:val="24"/>
        </w:rPr>
        <w:t>27 znacząco się poprawiła</w:t>
      </w:r>
      <w:r w:rsidR="00BC269F">
        <w:rPr>
          <w:rFonts w:ascii="Times New Roman" w:hAnsi="Times New Roman" w:cs="Times New Roman"/>
          <w:sz w:val="24"/>
          <w:szCs w:val="24"/>
        </w:rPr>
        <w:t xml:space="preserve"> i wyniosła 84 procent</w:t>
      </w:r>
      <w:r w:rsidR="00303231">
        <w:rPr>
          <w:rFonts w:ascii="Times New Roman" w:hAnsi="Times New Roman" w:cs="Times New Roman"/>
          <w:sz w:val="24"/>
          <w:szCs w:val="24"/>
        </w:rPr>
        <w:t xml:space="preserve"> (</w:t>
      </w:r>
      <w:r w:rsidR="00BC269F">
        <w:rPr>
          <w:rFonts w:ascii="Times New Roman" w:hAnsi="Times New Roman" w:cs="Times New Roman"/>
          <w:sz w:val="24"/>
          <w:szCs w:val="24"/>
        </w:rPr>
        <w:t xml:space="preserve">wzrost </w:t>
      </w:r>
      <w:r w:rsidR="00303231">
        <w:rPr>
          <w:rFonts w:ascii="Times New Roman" w:hAnsi="Times New Roman" w:cs="Times New Roman"/>
          <w:sz w:val="24"/>
          <w:szCs w:val="24"/>
        </w:rPr>
        <w:t>o 1</w:t>
      </w:r>
      <w:r w:rsidR="003E7ADF">
        <w:rPr>
          <w:rFonts w:ascii="Times New Roman" w:hAnsi="Times New Roman" w:cs="Times New Roman"/>
          <w:sz w:val="24"/>
          <w:szCs w:val="24"/>
        </w:rPr>
        <w:t>6</w:t>
      </w:r>
      <w:r w:rsidR="00303231">
        <w:rPr>
          <w:rFonts w:ascii="Times New Roman" w:hAnsi="Times New Roman" w:cs="Times New Roman"/>
          <w:sz w:val="24"/>
          <w:szCs w:val="24"/>
        </w:rPr>
        <w:t xml:space="preserve"> punktów procentowych w porównaniu do 202</w:t>
      </w:r>
      <w:r w:rsidR="003E7ADF">
        <w:rPr>
          <w:rFonts w:ascii="Times New Roman" w:hAnsi="Times New Roman" w:cs="Times New Roman"/>
          <w:sz w:val="24"/>
          <w:szCs w:val="24"/>
        </w:rPr>
        <w:t>1</w:t>
      </w:r>
      <w:r w:rsidR="00303231">
        <w:rPr>
          <w:rFonts w:ascii="Times New Roman" w:hAnsi="Times New Roman" w:cs="Times New Roman"/>
          <w:sz w:val="24"/>
          <w:szCs w:val="24"/>
        </w:rPr>
        <w:t xml:space="preserve"> r.)</w:t>
      </w:r>
      <w:r w:rsidRPr="00B824AA">
        <w:rPr>
          <w:rFonts w:ascii="Times New Roman" w:hAnsi="Times New Roman" w:cs="Times New Roman"/>
          <w:sz w:val="24"/>
          <w:szCs w:val="24"/>
        </w:rPr>
        <w:t xml:space="preserve">. </w:t>
      </w:r>
      <w:r w:rsidR="00303231">
        <w:rPr>
          <w:rFonts w:ascii="Times New Roman" w:hAnsi="Times New Roman" w:cs="Times New Roman"/>
          <w:sz w:val="24"/>
          <w:szCs w:val="24"/>
        </w:rPr>
        <w:t>Nadal jednak widoczny jest d</w:t>
      </w:r>
      <w:r w:rsidRPr="00B824AA">
        <w:rPr>
          <w:rFonts w:ascii="Times New Roman" w:hAnsi="Times New Roman" w:cs="Times New Roman"/>
          <w:sz w:val="24"/>
          <w:szCs w:val="24"/>
        </w:rPr>
        <w:t xml:space="preserve">ystans </w:t>
      </w:r>
      <w:r w:rsidR="00303231">
        <w:rPr>
          <w:rFonts w:ascii="Times New Roman" w:hAnsi="Times New Roman" w:cs="Times New Roman"/>
          <w:sz w:val="24"/>
          <w:szCs w:val="24"/>
        </w:rPr>
        <w:t>w porównaniu do krajów UE 14</w:t>
      </w:r>
      <w:r w:rsidR="003E7ADF">
        <w:rPr>
          <w:rFonts w:ascii="Times New Roman" w:hAnsi="Times New Roman" w:cs="Times New Roman"/>
          <w:sz w:val="24"/>
          <w:szCs w:val="24"/>
        </w:rPr>
        <w:t xml:space="preserve"> (wskaźnik wynosił 68 procent)</w:t>
      </w:r>
      <w:r w:rsidR="00303231">
        <w:rPr>
          <w:rFonts w:ascii="Times New Roman" w:hAnsi="Times New Roman" w:cs="Times New Roman"/>
          <w:sz w:val="24"/>
          <w:szCs w:val="24"/>
        </w:rPr>
        <w:t>. W relacji do grupy krajów UE 13, bezpieczeństwo transportu drogowego mierzone zaproponowanym wskaźnikiem jest powyżej średniej</w:t>
      </w:r>
      <w:r w:rsidR="003E7ADF">
        <w:rPr>
          <w:rFonts w:ascii="Times New Roman" w:hAnsi="Times New Roman" w:cs="Times New Roman"/>
          <w:sz w:val="24"/>
          <w:szCs w:val="24"/>
        </w:rPr>
        <w:t xml:space="preserve"> (</w:t>
      </w:r>
      <w:r w:rsidR="008D4EA9">
        <w:rPr>
          <w:rFonts w:ascii="Times New Roman" w:hAnsi="Times New Roman" w:cs="Times New Roman"/>
          <w:sz w:val="24"/>
          <w:szCs w:val="24"/>
        </w:rPr>
        <w:t>111 procent)</w:t>
      </w:r>
      <w:r w:rsidR="00303231">
        <w:rPr>
          <w:rFonts w:ascii="Times New Roman" w:hAnsi="Times New Roman" w:cs="Times New Roman"/>
          <w:sz w:val="24"/>
          <w:szCs w:val="24"/>
        </w:rPr>
        <w:t>.</w:t>
      </w:r>
      <w:r w:rsidRPr="00B824AA">
        <w:rPr>
          <w:rFonts w:ascii="Times New Roman" w:hAnsi="Times New Roman" w:cs="Times New Roman"/>
          <w:sz w:val="24"/>
          <w:szCs w:val="24"/>
        </w:rPr>
        <w:t xml:space="preserve"> </w:t>
      </w:r>
    </w:p>
    <w:p w14:paraId="1F973A7F" w14:textId="2C845B4E"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Kolejny, piąty wskaźnik w tym </w:t>
      </w:r>
      <w:r w:rsidR="00303231">
        <w:rPr>
          <w:rFonts w:ascii="Times New Roman" w:hAnsi="Times New Roman" w:cs="Times New Roman"/>
          <w:sz w:val="24"/>
          <w:szCs w:val="24"/>
        </w:rPr>
        <w:t>wymiarze</w:t>
      </w:r>
      <w:r w:rsidRPr="00B824AA">
        <w:rPr>
          <w:rFonts w:ascii="Times New Roman" w:hAnsi="Times New Roman" w:cs="Times New Roman"/>
          <w:sz w:val="24"/>
          <w:szCs w:val="24"/>
        </w:rPr>
        <w:t xml:space="preserve"> odnosi się do infrastruktury związanej z dostępem do Internetu. Bazuje on na procencie gospodarstw domowych posiadających stałe połączenie z</w:t>
      </w:r>
      <w:r w:rsidR="00303231">
        <w:rPr>
          <w:rFonts w:ascii="Times New Roman" w:hAnsi="Times New Roman" w:cs="Times New Roman"/>
          <w:sz w:val="24"/>
          <w:szCs w:val="24"/>
        </w:rPr>
        <w:t> </w:t>
      </w:r>
      <w:r w:rsidRPr="00B824AA">
        <w:rPr>
          <w:rFonts w:ascii="Times New Roman" w:hAnsi="Times New Roman" w:cs="Times New Roman"/>
          <w:sz w:val="24"/>
          <w:szCs w:val="24"/>
        </w:rPr>
        <w:t xml:space="preserve">siecią o bardzo wysokiej przepustowości (VHCN). W przypadku tego wskaźnika widać </w:t>
      </w:r>
      <w:r w:rsidR="00554FCC">
        <w:rPr>
          <w:rFonts w:ascii="Times New Roman" w:hAnsi="Times New Roman" w:cs="Times New Roman"/>
          <w:sz w:val="24"/>
          <w:szCs w:val="24"/>
        </w:rPr>
        <w:t>by</w:t>
      </w:r>
      <w:r w:rsidR="00180FD4">
        <w:rPr>
          <w:rFonts w:ascii="Times New Roman" w:hAnsi="Times New Roman" w:cs="Times New Roman"/>
          <w:sz w:val="24"/>
          <w:szCs w:val="24"/>
        </w:rPr>
        <w:t xml:space="preserve">ło </w:t>
      </w:r>
      <w:r w:rsidRPr="00B824AA">
        <w:rPr>
          <w:rFonts w:ascii="Times New Roman" w:hAnsi="Times New Roman" w:cs="Times New Roman"/>
          <w:sz w:val="24"/>
          <w:szCs w:val="24"/>
        </w:rPr>
        <w:t xml:space="preserve">znaczący postęp </w:t>
      </w:r>
      <w:r w:rsidR="00180FD4">
        <w:rPr>
          <w:rFonts w:ascii="Times New Roman" w:hAnsi="Times New Roman" w:cs="Times New Roman"/>
          <w:sz w:val="24"/>
          <w:szCs w:val="24"/>
        </w:rPr>
        <w:t>pomiędzy 2010 a</w:t>
      </w:r>
      <w:r w:rsidRPr="00B824AA">
        <w:rPr>
          <w:rFonts w:ascii="Times New Roman" w:hAnsi="Times New Roman" w:cs="Times New Roman"/>
          <w:sz w:val="24"/>
          <w:szCs w:val="24"/>
        </w:rPr>
        <w:t xml:space="preserve"> 2020 r.</w:t>
      </w:r>
      <w:r w:rsidR="00180FD4">
        <w:rPr>
          <w:rFonts w:ascii="Times New Roman" w:hAnsi="Times New Roman" w:cs="Times New Roman"/>
          <w:sz w:val="24"/>
          <w:szCs w:val="24"/>
        </w:rPr>
        <w:t xml:space="preserve">, kiedy </w:t>
      </w:r>
      <w:r w:rsidRPr="00B824AA">
        <w:rPr>
          <w:rFonts w:ascii="Times New Roman" w:hAnsi="Times New Roman" w:cs="Times New Roman"/>
          <w:sz w:val="24"/>
          <w:szCs w:val="24"/>
        </w:rPr>
        <w:t xml:space="preserve">wartość tego wskaźnika </w:t>
      </w:r>
      <w:r w:rsidR="00303231">
        <w:rPr>
          <w:rFonts w:ascii="Times New Roman" w:hAnsi="Times New Roman" w:cs="Times New Roman"/>
          <w:sz w:val="24"/>
          <w:szCs w:val="24"/>
        </w:rPr>
        <w:t>w Polsce była wyższa niż w krajach UE 27</w:t>
      </w:r>
      <w:r w:rsidR="00180FD4">
        <w:rPr>
          <w:rFonts w:ascii="Times New Roman" w:hAnsi="Times New Roman" w:cs="Times New Roman"/>
          <w:sz w:val="24"/>
          <w:szCs w:val="24"/>
        </w:rPr>
        <w:t xml:space="preserve">. </w:t>
      </w:r>
      <w:r w:rsidR="00F864D4" w:rsidRPr="00B824AA">
        <w:rPr>
          <w:rFonts w:ascii="Times New Roman" w:hAnsi="Times New Roman" w:cs="Times New Roman"/>
          <w:sz w:val="24"/>
          <w:szCs w:val="24"/>
        </w:rPr>
        <w:t>Tak znacząca zmiana wynika rozwoju inwestycji, w tym w szczególności publicznych w rozwój infrastruktury, w tym sieci światłowodowych, finansowanych między innymi z Programu Operacyjnego „Polska Cyfrowa”.</w:t>
      </w:r>
      <w:r w:rsidR="00F864D4">
        <w:rPr>
          <w:rFonts w:ascii="Times New Roman" w:hAnsi="Times New Roman" w:cs="Times New Roman"/>
          <w:sz w:val="24"/>
          <w:szCs w:val="24"/>
        </w:rPr>
        <w:t xml:space="preserve"> </w:t>
      </w:r>
      <w:r w:rsidR="00180FD4">
        <w:rPr>
          <w:rFonts w:ascii="Times New Roman" w:hAnsi="Times New Roman" w:cs="Times New Roman"/>
          <w:sz w:val="24"/>
          <w:szCs w:val="24"/>
        </w:rPr>
        <w:t>Po 2020 r.</w:t>
      </w:r>
      <w:r w:rsidR="00F864D4">
        <w:rPr>
          <w:rFonts w:ascii="Times New Roman" w:hAnsi="Times New Roman" w:cs="Times New Roman"/>
          <w:sz w:val="24"/>
          <w:szCs w:val="24"/>
        </w:rPr>
        <w:t xml:space="preserve"> obserwujemy </w:t>
      </w:r>
      <w:r w:rsidR="00180FD4">
        <w:rPr>
          <w:rFonts w:ascii="Times New Roman" w:hAnsi="Times New Roman" w:cs="Times New Roman"/>
          <w:sz w:val="24"/>
          <w:szCs w:val="24"/>
        </w:rPr>
        <w:t xml:space="preserve">spadek wartości wskaźnika, co może wskazywać na wolniejszy rozwój infrastruktury związanej z dostępem do Internetu w Polsce, zarówno </w:t>
      </w:r>
      <w:r w:rsidR="00F864D4">
        <w:rPr>
          <w:rFonts w:ascii="Times New Roman" w:hAnsi="Times New Roman" w:cs="Times New Roman"/>
          <w:sz w:val="24"/>
          <w:szCs w:val="24"/>
        </w:rPr>
        <w:t xml:space="preserve">w krajach UE 14, jak i w krajach UE 13. W 2022 r. w Polsce w porównaniu do krajów UE 27 wskaźnik ten wynosił 96 procent (spadek o 4 punkty procentowe), </w:t>
      </w:r>
      <w:r w:rsidR="00FC7577">
        <w:rPr>
          <w:rFonts w:ascii="Times New Roman" w:hAnsi="Times New Roman" w:cs="Times New Roman"/>
          <w:sz w:val="24"/>
          <w:szCs w:val="24"/>
        </w:rPr>
        <w:t>był on nieco wyższy na tle krajów UE 14 (97 procent) niż krajów UE 13 (93 procent).</w:t>
      </w:r>
    </w:p>
    <w:p w14:paraId="07ABCFCA" w14:textId="5173D594" w:rsidR="00BF0B60" w:rsidRPr="00B824AA" w:rsidRDefault="00BF0B60" w:rsidP="00BF0B60">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Ostatnim wskaźnikiem który został uwzględniony w </w:t>
      </w:r>
      <w:r w:rsidR="00A90E56">
        <w:rPr>
          <w:rFonts w:ascii="Times New Roman" w:hAnsi="Times New Roman" w:cs="Times New Roman"/>
          <w:sz w:val="24"/>
          <w:szCs w:val="24"/>
        </w:rPr>
        <w:t>wymiarze</w:t>
      </w:r>
      <w:r w:rsidRPr="00B824AA">
        <w:rPr>
          <w:rFonts w:ascii="Times New Roman" w:hAnsi="Times New Roman" w:cs="Times New Roman"/>
          <w:sz w:val="24"/>
          <w:szCs w:val="24"/>
        </w:rPr>
        <w:t xml:space="preserve"> transport i </w:t>
      </w:r>
      <w:r w:rsidR="00A90E56" w:rsidRPr="00B824AA">
        <w:rPr>
          <w:rFonts w:ascii="Times New Roman" w:hAnsi="Times New Roman" w:cs="Times New Roman"/>
          <w:sz w:val="24"/>
          <w:szCs w:val="24"/>
        </w:rPr>
        <w:t>infrastruktura</w:t>
      </w:r>
      <w:r w:rsidRPr="00B824AA">
        <w:rPr>
          <w:rFonts w:ascii="Times New Roman" w:hAnsi="Times New Roman" w:cs="Times New Roman"/>
          <w:sz w:val="24"/>
          <w:szCs w:val="24"/>
        </w:rPr>
        <w:t xml:space="preserve"> jest emisyjność nowych samochodów. Wskaźnik ten </w:t>
      </w:r>
      <w:r w:rsidR="00A90E56">
        <w:rPr>
          <w:rFonts w:ascii="Times New Roman" w:hAnsi="Times New Roman" w:cs="Times New Roman"/>
          <w:sz w:val="24"/>
          <w:szCs w:val="24"/>
        </w:rPr>
        <w:t>mierzy relacje</w:t>
      </w:r>
      <w:r w:rsidRPr="00B824AA">
        <w:rPr>
          <w:rFonts w:ascii="Times New Roman" w:hAnsi="Times New Roman" w:cs="Times New Roman"/>
          <w:sz w:val="24"/>
          <w:szCs w:val="24"/>
        </w:rPr>
        <w:t xml:space="preserve"> średniej emisj</w:t>
      </w:r>
      <w:r w:rsidR="00A90E56">
        <w:rPr>
          <w:rFonts w:ascii="Times New Roman" w:hAnsi="Times New Roman" w:cs="Times New Roman"/>
          <w:sz w:val="24"/>
          <w:szCs w:val="24"/>
        </w:rPr>
        <w:t>i</w:t>
      </w:r>
      <w:r w:rsidRPr="00B824AA">
        <w:rPr>
          <w:rFonts w:ascii="Times New Roman" w:hAnsi="Times New Roman" w:cs="Times New Roman"/>
          <w:sz w:val="24"/>
          <w:szCs w:val="24"/>
        </w:rPr>
        <w:t xml:space="preserve"> dwutlenku węgla (CO2) na km przez nowe samochody osobowe w danym roku</w:t>
      </w:r>
      <w:r w:rsidR="00A90E56">
        <w:rPr>
          <w:rFonts w:ascii="Times New Roman" w:hAnsi="Times New Roman" w:cs="Times New Roman"/>
          <w:sz w:val="24"/>
          <w:szCs w:val="24"/>
        </w:rPr>
        <w:t xml:space="preserve"> w Polsce w porównaniu do analizowanych grup krajów</w:t>
      </w:r>
      <w:r w:rsidRPr="00B824AA">
        <w:rPr>
          <w:rFonts w:ascii="Times New Roman" w:hAnsi="Times New Roman" w:cs="Times New Roman"/>
          <w:sz w:val="24"/>
          <w:szCs w:val="24"/>
        </w:rPr>
        <w:t>. Emisyjność nowych samochodów w Polsce jest gorsza niż w krajach UE 2</w:t>
      </w:r>
      <w:r w:rsidR="00A90E56">
        <w:rPr>
          <w:rFonts w:ascii="Times New Roman" w:hAnsi="Times New Roman" w:cs="Times New Roman"/>
          <w:sz w:val="24"/>
          <w:szCs w:val="24"/>
        </w:rPr>
        <w:t>7</w:t>
      </w:r>
      <w:r w:rsidRPr="00B824AA">
        <w:rPr>
          <w:rFonts w:ascii="Times New Roman" w:hAnsi="Times New Roman" w:cs="Times New Roman"/>
          <w:sz w:val="24"/>
          <w:szCs w:val="24"/>
        </w:rPr>
        <w:t xml:space="preserve">, a co więcej relacja do średniej unijnej </w:t>
      </w:r>
      <w:r w:rsidR="008C72DD">
        <w:rPr>
          <w:rFonts w:ascii="Times New Roman" w:hAnsi="Times New Roman" w:cs="Times New Roman"/>
          <w:sz w:val="24"/>
          <w:szCs w:val="24"/>
        </w:rPr>
        <w:t>pogarsza</w:t>
      </w:r>
      <w:r w:rsidRPr="00B824AA">
        <w:rPr>
          <w:rFonts w:ascii="Times New Roman" w:hAnsi="Times New Roman" w:cs="Times New Roman"/>
          <w:sz w:val="24"/>
          <w:szCs w:val="24"/>
        </w:rPr>
        <w:t xml:space="preserve"> się od 2010 r.</w:t>
      </w:r>
      <w:r w:rsidR="008C72DD">
        <w:rPr>
          <w:rFonts w:ascii="Times New Roman" w:hAnsi="Times New Roman" w:cs="Times New Roman"/>
          <w:sz w:val="24"/>
          <w:szCs w:val="24"/>
        </w:rPr>
        <w:t xml:space="preserve">, w 2022 r. była mniejsza o </w:t>
      </w:r>
      <w:r w:rsidR="00A1382E">
        <w:rPr>
          <w:rFonts w:ascii="Times New Roman" w:hAnsi="Times New Roman" w:cs="Times New Roman"/>
          <w:sz w:val="24"/>
          <w:szCs w:val="24"/>
        </w:rPr>
        <w:t xml:space="preserve">17 </w:t>
      </w:r>
      <w:r w:rsidRPr="00B824AA">
        <w:rPr>
          <w:rFonts w:ascii="Times New Roman" w:hAnsi="Times New Roman" w:cs="Times New Roman"/>
          <w:sz w:val="24"/>
          <w:szCs w:val="24"/>
        </w:rPr>
        <w:t>punktów procentowych</w:t>
      </w:r>
      <w:r w:rsidR="00A1382E">
        <w:rPr>
          <w:rFonts w:ascii="Times New Roman" w:hAnsi="Times New Roman" w:cs="Times New Roman"/>
          <w:sz w:val="24"/>
          <w:szCs w:val="24"/>
        </w:rPr>
        <w:t xml:space="preserve"> i wyniosła 79 procent</w:t>
      </w:r>
      <w:r w:rsidRPr="00B824AA">
        <w:rPr>
          <w:rFonts w:ascii="Times New Roman" w:hAnsi="Times New Roman" w:cs="Times New Roman"/>
          <w:sz w:val="24"/>
          <w:szCs w:val="24"/>
        </w:rPr>
        <w:t xml:space="preserve">. Luka jest widoczna w </w:t>
      </w:r>
      <w:r w:rsidRPr="00B824AA">
        <w:rPr>
          <w:rFonts w:ascii="Times New Roman" w:hAnsi="Times New Roman" w:cs="Times New Roman"/>
          <w:sz w:val="24"/>
          <w:szCs w:val="24"/>
        </w:rPr>
        <w:lastRenderedPageBreak/>
        <w:t xml:space="preserve">szczególności w relacji do krajów </w:t>
      </w:r>
      <w:r w:rsidR="00DF051E">
        <w:rPr>
          <w:rFonts w:ascii="Times New Roman" w:hAnsi="Times New Roman" w:cs="Times New Roman"/>
          <w:sz w:val="24"/>
          <w:szCs w:val="24"/>
        </w:rPr>
        <w:t>UE 14</w:t>
      </w:r>
      <w:r w:rsidR="00A1382E">
        <w:rPr>
          <w:rFonts w:ascii="Times New Roman" w:hAnsi="Times New Roman" w:cs="Times New Roman"/>
          <w:sz w:val="24"/>
          <w:szCs w:val="24"/>
        </w:rPr>
        <w:t xml:space="preserve"> (77 p</w:t>
      </w:r>
      <w:r w:rsidR="00A06AE1">
        <w:rPr>
          <w:rFonts w:ascii="Times New Roman" w:hAnsi="Times New Roman" w:cs="Times New Roman"/>
          <w:sz w:val="24"/>
          <w:szCs w:val="24"/>
        </w:rPr>
        <w:t>rocent</w:t>
      </w:r>
      <w:r w:rsidR="00CB6401">
        <w:rPr>
          <w:rFonts w:ascii="Times New Roman" w:hAnsi="Times New Roman" w:cs="Times New Roman"/>
          <w:sz w:val="24"/>
          <w:szCs w:val="24"/>
        </w:rPr>
        <w:t xml:space="preserve"> w 2022 r.)</w:t>
      </w:r>
      <w:r w:rsidR="00DF051E">
        <w:rPr>
          <w:rFonts w:ascii="Times New Roman" w:hAnsi="Times New Roman" w:cs="Times New Roman"/>
          <w:sz w:val="24"/>
          <w:szCs w:val="24"/>
        </w:rPr>
        <w:t>, podczas gdy wskaźnik emisyjności nowych samochodów jest podobny w Polsce i w krajach UE 13</w:t>
      </w:r>
      <w:r w:rsidR="00CB6401">
        <w:rPr>
          <w:rFonts w:ascii="Times New Roman" w:hAnsi="Times New Roman" w:cs="Times New Roman"/>
          <w:sz w:val="24"/>
          <w:szCs w:val="24"/>
        </w:rPr>
        <w:t xml:space="preserve"> (98 procent)</w:t>
      </w:r>
      <w:r w:rsidRPr="00B824AA">
        <w:rPr>
          <w:rFonts w:ascii="Times New Roman" w:hAnsi="Times New Roman" w:cs="Times New Roman"/>
          <w:sz w:val="24"/>
          <w:szCs w:val="24"/>
        </w:rPr>
        <w:t>.</w:t>
      </w:r>
    </w:p>
    <w:p w14:paraId="29A2E4F9" w14:textId="1D92D756" w:rsidR="00BF0B60" w:rsidRPr="00B824AA" w:rsidRDefault="00F80AE3" w:rsidP="00F80AE3">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8</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Transport i infrastruktura w latach 2010, 2015, 2020</w:t>
      </w:r>
      <w:r w:rsidR="00A13FEF">
        <w:rPr>
          <w:rFonts w:ascii="Times New Roman" w:hAnsi="Times New Roman" w:cs="Times New Roman"/>
          <w:sz w:val="22"/>
          <w:szCs w:val="22"/>
        </w:rPr>
        <w:t>,</w:t>
      </w:r>
      <w:r w:rsidRPr="00B824AA">
        <w:rPr>
          <w:rFonts w:ascii="Times New Roman" w:hAnsi="Times New Roman" w:cs="Times New Roman"/>
          <w:sz w:val="22"/>
          <w:szCs w:val="22"/>
        </w:rPr>
        <w:t xml:space="preserve"> 2021</w:t>
      </w:r>
      <w:r w:rsidR="00A13FEF">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13" w:type="dxa"/>
        <w:tblInd w:w="0" w:type="dxa"/>
        <w:tblLook w:val="04A0" w:firstRow="1" w:lastRow="0" w:firstColumn="1" w:lastColumn="0" w:noHBand="0" w:noVBand="1"/>
      </w:tblPr>
      <w:tblGrid>
        <w:gridCol w:w="2551"/>
        <w:gridCol w:w="2154"/>
        <w:gridCol w:w="2154"/>
        <w:gridCol w:w="2154"/>
      </w:tblGrid>
      <w:tr w:rsidR="00BF0B60" w:rsidRPr="00B824AA" w14:paraId="73B42FA3" w14:textId="77777777" w:rsidTr="00DF051E">
        <w:trPr>
          <w:trHeight w:val="367"/>
          <w:tblHeader/>
        </w:trPr>
        <w:tc>
          <w:tcPr>
            <w:tcW w:w="2551" w:type="dxa"/>
            <w:vMerge w:val="restart"/>
            <w:vAlign w:val="center"/>
          </w:tcPr>
          <w:p w14:paraId="6936FD8B" w14:textId="02D4F707" w:rsidR="00BF0B60" w:rsidRPr="00B824AA" w:rsidRDefault="00C9487A" w:rsidP="00CC3BD8">
            <w:pPr>
              <w:jc w:val="center"/>
              <w:rPr>
                <w:rFonts w:ascii="Times New Roman" w:hAnsi="Times New Roman" w:cs="Times New Roman"/>
                <w:b/>
                <w:bCs/>
              </w:rPr>
            </w:pPr>
            <w:r w:rsidRPr="00B824AA">
              <w:rPr>
                <w:rFonts w:ascii="Times New Roman" w:hAnsi="Times New Roman" w:cs="Times New Roman"/>
                <w:b/>
                <w:bCs/>
              </w:rPr>
              <w:t>Wymiar</w:t>
            </w:r>
            <w:r w:rsidR="00BF0B60" w:rsidRPr="00B824AA">
              <w:rPr>
                <w:rFonts w:ascii="Times New Roman" w:hAnsi="Times New Roman" w:cs="Times New Roman"/>
                <w:b/>
                <w:bCs/>
              </w:rPr>
              <w:t xml:space="preserve"> i wskaźniki cząstkowe oraz lata</w:t>
            </w:r>
          </w:p>
        </w:tc>
        <w:tc>
          <w:tcPr>
            <w:tcW w:w="6462" w:type="dxa"/>
            <w:gridSpan w:val="3"/>
            <w:vAlign w:val="center"/>
          </w:tcPr>
          <w:p w14:paraId="7DA9BC92" w14:textId="16ADAE34" w:rsidR="00BF0B60" w:rsidRPr="00B824AA" w:rsidRDefault="00BF0B60" w:rsidP="00CC3BD8">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i/>
                <w:iCs/>
              </w:rPr>
              <w:t>catch-up</w:t>
            </w:r>
            <w:proofErr w:type="spellEnd"/>
            <w:r w:rsidRPr="00B824AA">
              <w:rPr>
                <w:rFonts w:ascii="Times New Roman" w:hAnsi="Times New Roman" w:cs="Times New Roman"/>
                <w:b/>
                <w:bCs/>
              </w:rPr>
              <w:t xml:space="preserve"> w %</w:t>
            </w:r>
          </w:p>
        </w:tc>
      </w:tr>
      <w:tr w:rsidR="00C9487A" w:rsidRPr="00B824AA" w14:paraId="6142A3B8" w14:textId="77777777" w:rsidTr="00DF051E">
        <w:trPr>
          <w:trHeight w:val="399"/>
          <w:tblHeader/>
        </w:trPr>
        <w:tc>
          <w:tcPr>
            <w:tcW w:w="2551" w:type="dxa"/>
            <w:vMerge/>
            <w:vAlign w:val="center"/>
          </w:tcPr>
          <w:p w14:paraId="62947121" w14:textId="77777777" w:rsidR="00C9487A" w:rsidRPr="00B824AA" w:rsidRDefault="00C9487A" w:rsidP="00C9487A">
            <w:pPr>
              <w:jc w:val="center"/>
              <w:rPr>
                <w:rFonts w:ascii="Times New Roman" w:hAnsi="Times New Roman" w:cs="Times New Roman"/>
                <w:b/>
                <w:bCs/>
              </w:rPr>
            </w:pPr>
          </w:p>
        </w:tc>
        <w:tc>
          <w:tcPr>
            <w:tcW w:w="2154" w:type="dxa"/>
            <w:vAlign w:val="center"/>
          </w:tcPr>
          <w:p w14:paraId="73C4F4FF" w14:textId="330A5BAD"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27</w:t>
            </w:r>
          </w:p>
        </w:tc>
        <w:tc>
          <w:tcPr>
            <w:tcW w:w="2154" w:type="dxa"/>
            <w:vAlign w:val="center"/>
          </w:tcPr>
          <w:p w14:paraId="65F7DE0F" w14:textId="56D4D3E7"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14</w:t>
            </w:r>
          </w:p>
        </w:tc>
        <w:tc>
          <w:tcPr>
            <w:tcW w:w="2154" w:type="dxa"/>
            <w:vAlign w:val="center"/>
          </w:tcPr>
          <w:p w14:paraId="710ED65D" w14:textId="414EC603"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13</w:t>
            </w:r>
          </w:p>
        </w:tc>
      </w:tr>
      <w:tr w:rsidR="00BF0B60" w:rsidRPr="00B824AA" w14:paraId="2D5AB4C9" w14:textId="77777777" w:rsidTr="00C9487A">
        <w:trPr>
          <w:trHeight w:val="322"/>
        </w:trPr>
        <w:tc>
          <w:tcPr>
            <w:tcW w:w="2551" w:type="dxa"/>
            <w:tcBorders>
              <w:bottom w:val="nil"/>
            </w:tcBorders>
            <w:vAlign w:val="center"/>
          </w:tcPr>
          <w:p w14:paraId="548FC673" w14:textId="77777777" w:rsidR="00BF0B60" w:rsidRPr="00B824AA" w:rsidRDefault="00BF0B60" w:rsidP="00CC3BD8">
            <w:pPr>
              <w:ind w:left="316"/>
              <w:rPr>
                <w:rFonts w:ascii="Times New Roman" w:hAnsi="Times New Roman" w:cs="Times New Roman"/>
                <w:b/>
                <w:bCs/>
              </w:rPr>
            </w:pPr>
            <w:r w:rsidRPr="00B824AA">
              <w:rPr>
                <w:rFonts w:ascii="Times New Roman" w:hAnsi="Times New Roman" w:cs="Times New Roman"/>
                <w:b/>
                <w:bCs/>
                <w:color w:val="000000"/>
              </w:rPr>
              <w:t>Transport i infrastruktura</w:t>
            </w:r>
          </w:p>
        </w:tc>
        <w:tc>
          <w:tcPr>
            <w:tcW w:w="2154" w:type="dxa"/>
            <w:tcBorders>
              <w:bottom w:val="nil"/>
            </w:tcBorders>
          </w:tcPr>
          <w:p w14:paraId="2ABD063E" w14:textId="77777777" w:rsidR="00BF0B60" w:rsidRPr="00B824AA" w:rsidRDefault="00BF0B60" w:rsidP="00CC3BD8">
            <w:pPr>
              <w:tabs>
                <w:tab w:val="decimal" w:pos="1135"/>
              </w:tabs>
              <w:rPr>
                <w:rFonts w:ascii="Times New Roman" w:hAnsi="Times New Roman" w:cs="Times New Roman"/>
                <w:b/>
                <w:bCs/>
              </w:rPr>
            </w:pPr>
          </w:p>
        </w:tc>
        <w:tc>
          <w:tcPr>
            <w:tcW w:w="2154" w:type="dxa"/>
            <w:tcBorders>
              <w:bottom w:val="nil"/>
            </w:tcBorders>
          </w:tcPr>
          <w:p w14:paraId="30A5318C" w14:textId="77777777" w:rsidR="00BF0B60" w:rsidRPr="00B824AA" w:rsidRDefault="00BF0B60" w:rsidP="00CC3BD8">
            <w:pPr>
              <w:tabs>
                <w:tab w:val="decimal" w:pos="1107"/>
              </w:tabs>
              <w:rPr>
                <w:rFonts w:ascii="Times New Roman" w:hAnsi="Times New Roman" w:cs="Times New Roman"/>
                <w:b/>
                <w:bCs/>
              </w:rPr>
            </w:pPr>
          </w:p>
        </w:tc>
        <w:tc>
          <w:tcPr>
            <w:tcW w:w="2154" w:type="dxa"/>
            <w:tcBorders>
              <w:bottom w:val="nil"/>
            </w:tcBorders>
          </w:tcPr>
          <w:p w14:paraId="4C6A841A" w14:textId="77777777" w:rsidR="00BF0B60" w:rsidRPr="00B824AA" w:rsidRDefault="00BF0B60" w:rsidP="00CC3BD8">
            <w:pPr>
              <w:tabs>
                <w:tab w:val="decimal" w:pos="1221"/>
              </w:tabs>
              <w:rPr>
                <w:rFonts w:ascii="Times New Roman" w:hAnsi="Times New Roman" w:cs="Times New Roman"/>
                <w:b/>
                <w:bCs/>
              </w:rPr>
            </w:pPr>
          </w:p>
        </w:tc>
      </w:tr>
      <w:tr w:rsidR="004D5A06" w:rsidRPr="00B824AA" w14:paraId="0298C5B8" w14:textId="77777777" w:rsidTr="00866620">
        <w:tc>
          <w:tcPr>
            <w:tcW w:w="2551" w:type="dxa"/>
            <w:tcBorders>
              <w:top w:val="nil"/>
              <w:bottom w:val="nil"/>
            </w:tcBorders>
            <w:vAlign w:val="center"/>
          </w:tcPr>
          <w:p w14:paraId="0BD6469C" w14:textId="77777777" w:rsidR="004D5A06" w:rsidRPr="00747F35" w:rsidRDefault="004D5A06" w:rsidP="0086535E">
            <w:pPr>
              <w:ind w:left="316"/>
              <w:rPr>
                <w:rFonts w:ascii="Times New Roman" w:hAnsi="Times New Roman" w:cs="Times New Roman"/>
                <w:b/>
                <w:bCs/>
              </w:rPr>
            </w:pPr>
            <w:r w:rsidRPr="00747F35">
              <w:rPr>
                <w:rFonts w:ascii="Times New Roman" w:hAnsi="Times New Roman" w:cs="Times New Roman"/>
                <w:b/>
                <w:bCs/>
                <w:color w:val="000000"/>
              </w:rPr>
              <w:t>2010</w:t>
            </w:r>
          </w:p>
        </w:tc>
        <w:tc>
          <w:tcPr>
            <w:tcW w:w="2154" w:type="dxa"/>
            <w:tcBorders>
              <w:top w:val="nil"/>
              <w:bottom w:val="nil"/>
            </w:tcBorders>
          </w:tcPr>
          <w:p w14:paraId="365F7C01" w14:textId="25EC22ED" w:rsidR="004D5A06" w:rsidRPr="00966D0D" w:rsidRDefault="004D5A06" w:rsidP="0086535E">
            <w:pPr>
              <w:tabs>
                <w:tab w:val="decimal" w:pos="1135"/>
              </w:tabs>
              <w:rPr>
                <w:rFonts w:ascii="Times New Roman" w:hAnsi="Times New Roman" w:cs="Times New Roman"/>
                <w:b/>
                <w:bCs/>
              </w:rPr>
            </w:pPr>
            <w:r w:rsidRPr="00966D0D">
              <w:rPr>
                <w:rFonts w:ascii="Times New Roman" w:hAnsi="Times New Roman" w:cs="Times New Roman"/>
                <w:b/>
              </w:rPr>
              <w:t>60</w:t>
            </w:r>
          </w:p>
        </w:tc>
        <w:tc>
          <w:tcPr>
            <w:tcW w:w="2154" w:type="dxa"/>
            <w:tcBorders>
              <w:top w:val="nil"/>
              <w:bottom w:val="nil"/>
            </w:tcBorders>
          </w:tcPr>
          <w:p w14:paraId="08250816" w14:textId="6F04A760" w:rsidR="004D5A06" w:rsidRPr="00966D0D" w:rsidRDefault="004D5A06" w:rsidP="0086535E">
            <w:pPr>
              <w:tabs>
                <w:tab w:val="decimal" w:pos="1107"/>
              </w:tabs>
              <w:rPr>
                <w:rFonts w:ascii="Times New Roman" w:hAnsi="Times New Roman" w:cs="Times New Roman"/>
                <w:b/>
                <w:bCs/>
              </w:rPr>
            </w:pPr>
            <w:r w:rsidRPr="00966D0D">
              <w:rPr>
                <w:rFonts w:ascii="Times New Roman" w:hAnsi="Times New Roman" w:cs="Times New Roman"/>
                <w:b/>
              </w:rPr>
              <w:t>64</w:t>
            </w:r>
          </w:p>
        </w:tc>
        <w:tc>
          <w:tcPr>
            <w:tcW w:w="2154" w:type="dxa"/>
            <w:tcBorders>
              <w:top w:val="nil"/>
              <w:bottom w:val="nil"/>
            </w:tcBorders>
          </w:tcPr>
          <w:p w14:paraId="0FB3DFAE" w14:textId="20960071" w:rsidR="004D5A06" w:rsidRPr="00966D0D" w:rsidRDefault="004D5A06" w:rsidP="0086535E">
            <w:pPr>
              <w:tabs>
                <w:tab w:val="decimal" w:pos="1221"/>
              </w:tabs>
              <w:rPr>
                <w:rFonts w:ascii="Times New Roman" w:hAnsi="Times New Roman" w:cs="Times New Roman"/>
                <w:b/>
                <w:bCs/>
              </w:rPr>
            </w:pPr>
            <w:r w:rsidRPr="00966D0D">
              <w:rPr>
                <w:rFonts w:ascii="Times New Roman" w:hAnsi="Times New Roman" w:cs="Times New Roman"/>
                <w:b/>
              </w:rPr>
              <w:t>54</w:t>
            </w:r>
          </w:p>
        </w:tc>
      </w:tr>
      <w:tr w:rsidR="004D5A06" w:rsidRPr="00B824AA" w14:paraId="7FD10F55" w14:textId="77777777" w:rsidTr="00866620">
        <w:tc>
          <w:tcPr>
            <w:tcW w:w="2551" w:type="dxa"/>
            <w:tcBorders>
              <w:top w:val="nil"/>
              <w:bottom w:val="nil"/>
            </w:tcBorders>
            <w:vAlign w:val="center"/>
          </w:tcPr>
          <w:p w14:paraId="39E5DD77" w14:textId="77777777" w:rsidR="004D5A06" w:rsidRPr="00747F35" w:rsidRDefault="004D5A06" w:rsidP="0086535E">
            <w:pPr>
              <w:ind w:left="316"/>
              <w:rPr>
                <w:rFonts w:ascii="Times New Roman" w:hAnsi="Times New Roman" w:cs="Times New Roman"/>
                <w:b/>
                <w:bCs/>
              </w:rPr>
            </w:pPr>
            <w:r w:rsidRPr="00747F35">
              <w:rPr>
                <w:rFonts w:ascii="Times New Roman" w:hAnsi="Times New Roman" w:cs="Times New Roman"/>
                <w:b/>
                <w:bCs/>
                <w:color w:val="000000"/>
              </w:rPr>
              <w:t>2015</w:t>
            </w:r>
          </w:p>
        </w:tc>
        <w:tc>
          <w:tcPr>
            <w:tcW w:w="2154" w:type="dxa"/>
            <w:tcBorders>
              <w:top w:val="nil"/>
              <w:bottom w:val="nil"/>
            </w:tcBorders>
          </w:tcPr>
          <w:p w14:paraId="426DEBDC" w14:textId="359BBE8D" w:rsidR="004D5A06" w:rsidRPr="00966D0D" w:rsidRDefault="004D5A06" w:rsidP="0086535E">
            <w:pPr>
              <w:tabs>
                <w:tab w:val="decimal" w:pos="1135"/>
              </w:tabs>
              <w:rPr>
                <w:rFonts w:ascii="Times New Roman" w:hAnsi="Times New Roman" w:cs="Times New Roman"/>
                <w:b/>
                <w:bCs/>
              </w:rPr>
            </w:pPr>
            <w:r w:rsidRPr="00966D0D">
              <w:rPr>
                <w:rFonts w:ascii="Times New Roman" w:hAnsi="Times New Roman" w:cs="Times New Roman"/>
                <w:b/>
              </w:rPr>
              <w:t>64</w:t>
            </w:r>
          </w:p>
        </w:tc>
        <w:tc>
          <w:tcPr>
            <w:tcW w:w="2154" w:type="dxa"/>
            <w:tcBorders>
              <w:top w:val="nil"/>
              <w:bottom w:val="nil"/>
            </w:tcBorders>
          </w:tcPr>
          <w:p w14:paraId="0DFE284C" w14:textId="32E9F659" w:rsidR="004D5A06" w:rsidRPr="00966D0D" w:rsidRDefault="004D5A06" w:rsidP="0086535E">
            <w:pPr>
              <w:tabs>
                <w:tab w:val="decimal" w:pos="1107"/>
              </w:tabs>
              <w:rPr>
                <w:rFonts w:ascii="Times New Roman" w:hAnsi="Times New Roman" w:cs="Times New Roman"/>
                <w:b/>
                <w:bCs/>
              </w:rPr>
            </w:pPr>
            <w:r w:rsidRPr="00966D0D">
              <w:rPr>
                <w:rFonts w:ascii="Times New Roman" w:hAnsi="Times New Roman" w:cs="Times New Roman"/>
                <w:b/>
              </w:rPr>
              <w:t>66</w:t>
            </w:r>
          </w:p>
        </w:tc>
        <w:tc>
          <w:tcPr>
            <w:tcW w:w="2154" w:type="dxa"/>
            <w:tcBorders>
              <w:top w:val="nil"/>
              <w:bottom w:val="nil"/>
            </w:tcBorders>
          </w:tcPr>
          <w:p w14:paraId="6A5CA920" w14:textId="549C86FA" w:rsidR="004D5A06" w:rsidRPr="00966D0D" w:rsidRDefault="004D5A06" w:rsidP="0086535E">
            <w:pPr>
              <w:tabs>
                <w:tab w:val="decimal" w:pos="1221"/>
              </w:tabs>
              <w:rPr>
                <w:rFonts w:ascii="Times New Roman" w:hAnsi="Times New Roman" w:cs="Times New Roman"/>
                <w:b/>
                <w:bCs/>
              </w:rPr>
            </w:pPr>
            <w:r w:rsidRPr="00966D0D">
              <w:rPr>
                <w:rFonts w:ascii="Times New Roman" w:hAnsi="Times New Roman" w:cs="Times New Roman"/>
                <w:b/>
              </w:rPr>
              <w:t>61</w:t>
            </w:r>
          </w:p>
        </w:tc>
      </w:tr>
      <w:tr w:rsidR="004D5A06" w:rsidRPr="00B824AA" w14:paraId="6EB7564B" w14:textId="77777777" w:rsidTr="00866620">
        <w:tc>
          <w:tcPr>
            <w:tcW w:w="2551" w:type="dxa"/>
            <w:tcBorders>
              <w:top w:val="nil"/>
              <w:bottom w:val="nil"/>
            </w:tcBorders>
            <w:vAlign w:val="center"/>
          </w:tcPr>
          <w:p w14:paraId="12462080" w14:textId="77777777" w:rsidR="004D5A06" w:rsidRPr="00747F35" w:rsidRDefault="004D5A06" w:rsidP="0086535E">
            <w:pPr>
              <w:ind w:left="316"/>
              <w:rPr>
                <w:rFonts w:ascii="Times New Roman" w:hAnsi="Times New Roman" w:cs="Times New Roman"/>
                <w:b/>
                <w:bCs/>
              </w:rPr>
            </w:pPr>
            <w:r w:rsidRPr="00747F35">
              <w:rPr>
                <w:rFonts w:ascii="Times New Roman" w:hAnsi="Times New Roman" w:cs="Times New Roman"/>
                <w:b/>
                <w:bCs/>
                <w:color w:val="000000"/>
              </w:rPr>
              <w:t>2020</w:t>
            </w:r>
          </w:p>
        </w:tc>
        <w:tc>
          <w:tcPr>
            <w:tcW w:w="2154" w:type="dxa"/>
            <w:tcBorders>
              <w:top w:val="nil"/>
              <w:bottom w:val="nil"/>
            </w:tcBorders>
          </w:tcPr>
          <w:p w14:paraId="27598247" w14:textId="13F30C13" w:rsidR="004D5A06" w:rsidRPr="00966D0D" w:rsidRDefault="004D5A06" w:rsidP="0086535E">
            <w:pPr>
              <w:tabs>
                <w:tab w:val="decimal" w:pos="1135"/>
              </w:tabs>
              <w:rPr>
                <w:rFonts w:ascii="Times New Roman" w:hAnsi="Times New Roman" w:cs="Times New Roman"/>
                <w:b/>
                <w:bCs/>
              </w:rPr>
            </w:pPr>
            <w:r w:rsidRPr="00966D0D">
              <w:rPr>
                <w:rFonts w:ascii="Times New Roman" w:hAnsi="Times New Roman" w:cs="Times New Roman"/>
                <w:b/>
              </w:rPr>
              <w:t>76</w:t>
            </w:r>
          </w:p>
        </w:tc>
        <w:tc>
          <w:tcPr>
            <w:tcW w:w="2154" w:type="dxa"/>
            <w:tcBorders>
              <w:top w:val="nil"/>
              <w:bottom w:val="nil"/>
            </w:tcBorders>
          </w:tcPr>
          <w:p w14:paraId="2FE7A4FA" w14:textId="6E22F3EA" w:rsidR="004D5A06" w:rsidRPr="00966D0D" w:rsidRDefault="004D5A06" w:rsidP="0086535E">
            <w:pPr>
              <w:tabs>
                <w:tab w:val="decimal" w:pos="1107"/>
              </w:tabs>
              <w:rPr>
                <w:rFonts w:ascii="Times New Roman" w:hAnsi="Times New Roman" w:cs="Times New Roman"/>
                <w:b/>
                <w:bCs/>
              </w:rPr>
            </w:pPr>
            <w:r w:rsidRPr="00966D0D">
              <w:rPr>
                <w:rFonts w:ascii="Times New Roman" w:hAnsi="Times New Roman" w:cs="Times New Roman"/>
                <w:b/>
              </w:rPr>
              <w:t>77</w:t>
            </w:r>
          </w:p>
        </w:tc>
        <w:tc>
          <w:tcPr>
            <w:tcW w:w="2154" w:type="dxa"/>
            <w:tcBorders>
              <w:top w:val="nil"/>
              <w:bottom w:val="nil"/>
            </w:tcBorders>
          </w:tcPr>
          <w:p w14:paraId="64B0D3B9" w14:textId="4DF44EFE" w:rsidR="004D5A06" w:rsidRPr="00966D0D" w:rsidRDefault="004D5A06" w:rsidP="0086535E">
            <w:pPr>
              <w:tabs>
                <w:tab w:val="decimal" w:pos="1221"/>
              </w:tabs>
              <w:rPr>
                <w:rFonts w:ascii="Times New Roman" w:hAnsi="Times New Roman" w:cs="Times New Roman"/>
                <w:b/>
                <w:bCs/>
              </w:rPr>
            </w:pPr>
            <w:r w:rsidRPr="00966D0D">
              <w:rPr>
                <w:rFonts w:ascii="Times New Roman" w:hAnsi="Times New Roman" w:cs="Times New Roman"/>
                <w:b/>
              </w:rPr>
              <w:t>78</w:t>
            </w:r>
          </w:p>
        </w:tc>
      </w:tr>
      <w:tr w:rsidR="004D5A06" w:rsidRPr="00B824AA" w14:paraId="10B433D5" w14:textId="77777777" w:rsidTr="00866620">
        <w:tc>
          <w:tcPr>
            <w:tcW w:w="2551" w:type="dxa"/>
            <w:tcBorders>
              <w:top w:val="nil"/>
              <w:bottom w:val="nil"/>
            </w:tcBorders>
            <w:vAlign w:val="center"/>
          </w:tcPr>
          <w:p w14:paraId="4056D8CF" w14:textId="77777777" w:rsidR="004D5A06" w:rsidRPr="00747F35" w:rsidRDefault="004D5A06" w:rsidP="0086535E">
            <w:pPr>
              <w:ind w:left="316"/>
              <w:rPr>
                <w:rFonts w:ascii="Times New Roman" w:hAnsi="Times New Roman" w:cs="Times New Roman"/>
                <w:b/>
                <w:bCs/>
              </w:rPr>
            </w:pPr>
            <w:r w:rsidRPr="00747F35">
              <w:rPr>
                <w:rFonts w:ascii="Times New Roman" w:hAnsi="Times New Roman" w:cs="Times New Roman"/>
                <w:b/>
                <w:bCs/>
                <w:color w:val="000000"/>
              </w:rPr>
              <w:t>2021</w:t>
            </w:r>
          </w:p>
        </w:tc>
        <w:tc>
          <w:tcPr>
            <w:tcW w:w="2154" w:type="dxa"/>
            <w:tcBorders>
              <w:top w:val="nil"/>
              <w:bottom w:val="nil"/>
            </w:tcBorders>
          </w:tcPr>
          <w:p w14:paraId="5EC85B62" w14:textId="30875133" w:rsidR="004D5A06" w:rsidRPr="00966D0D" w:rsidRDefault="004D5A06" w:rsidP="0086535E">
            <w:pPr>
              <w:tabs>
                <w:tab w:val="decimal" w:pos="1135"/>
              </w:tabs>
              <w:rPr>
                <w:rFonts w:ascii="Times New Roman" w:hAnsi="Times New Roman" w:cs="Times New Roman"/>
                <w:b/>
                <w:bCs/>
              </w:rPr>
            </w:pPr>
            <w:r w:rsidRPr="00966D0D">
              <w:rPr>
                <w:rFonts w:ascii="Times New Roman" w:hAnsi="Times New Roman" w:cs="Times New Roman"/>
                <w:b/>
              </w:rPr>
              <w:t>67</w:t>
            </w:r>
          </w:p>
        </w:tc>
        <w:tc>
          <w:tcPr>
            <w:tcW w:w="2154" w:type="dxa"/>
            <w:tcBorders>
              <w:top w:val="nil"/>
              <w:bottom w:val="nil"/>
            </w:tcBorders>
          </w:tcPr>
          <w:p w14:paraId="4766B045" w14:textId="5242CCB8" w:rsidR="004D5A06" w:rsidRPr="00966D0D" w:rsidRDefault="004D5A06" w:rsidP="0086535E">
            <w:pPr>
              <w:tabs>
                <w:tab w:val="decimal" w:pos="1107"/>
              </w:tabs>
              <w:rPr>
                <w:rFonts w:ascii="Times New Roman" w:hAnsi="Times New Roman" w:cs="Times New Roman"/>
                <w:b/>
                <w:bCs/>
              </w:rPr>
            </w:pPr>
            <w:r w:rsidRPr="00966D0D">
              <w:rPr>
                <w:rFonts w:ascii="Times New Roman" w:hAnsi="Times New Roman" w:cs="Times New Roman"/>
                <w:b/>
              </w:rPr>
              <w:t>65</w:t>
            </w:r>
          </w:p>
        </w:tc>
        <w:tc>
          <w:tcPr>
            <w:tcW w:w="2154" w:type="dxa"/>
            <w:tcBorders>
              <w:top w:val="nil"/>
              <w:bottom w:val="nil"/>
            </w:tcBorders>
          </w:tcPr>
          <w:p w14:paraId="49850F99" w14:textId="67B49BB6" w:rsidR="004D5A06" w:rsidRPr="00966D0D" w:rsidRDefault="004D5A06" w:rsidP="0086535E">
            <w:pPr>
              <w:tabs>
                <w:tab w:val="decimal" w:pos="1221"/>
              </w:tabs>
              <w:rPr>
                <w:rFonts w:ascii="Times New Roman" w:hAnsi="Times New Roman" w:cs="Times New Roman"/>
                <w:b/>
                <w:bCs/>
              </w:rPr>
            </w:pPr>
            <w:r w:rsidRPr="00966D0D">
              <w:rPr>
                <w:rFonts w:ascii="Times New Roman" w:hAnsi="Times New Roman" w:cs="Times New Roman"/>
                <w:b/>
              </w:rPr>
              <w:t>76</w:t>
            </w:r>
          </w:p>
        </w:tc>
      </w:tr>
      <w:tr w:rsidR="004D5A06" w:rsidRPr="00B824AA" w14:paraId="469E3D91" w14:textId="77777777" w:rsidTr="00866620">
        <w:tc>
          <w:tcPr>
            <w:tcW w:w="2551" w:type="dxa"/>
            <w:tcBorders>
              <w:top w:val="nil"/>
              <w:bottom w:val="nil"/>
            </w:tcBorders>
            <w:vAlign w:val="center"/>
          </w:tcPr>
          <w:p w14:paraId="6BD02240" w14:textId="3FACC815" w:rsidR="004D5A06" w:rsidRPr="00747F35" w:rsidRDefault="004D5A06" w:rsidP="0086535E">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54" w:type="dxa"/>
            <w:tcBorders>
              <w:top w:val="nil"/>
              <w:bottom w:val="nil"/>
            </w:tcBorders>
          </w:tcPr>
          <w:p w14:paraId="2ABEF1C1" w14:textId="16C69266" w:rsidR="004D5A06" w:rsidRPr="00966D0D" w:rsidRDefault="004D5A06" w:rsidP="0086535E">
            <w:pPr>
              <w:tabs>
                <w:tab w:val="decimal" w:pos="1135"/>
              </w:tabs>
              <w:rPr>
                <w:rFonts w:ascii="Times New Roman" w:hAnsi="Times New Roman" w:cs="Times New Roman"/>
                <w:b/>
                <w:bCs/>
                <w:color w:val="000000"/>
              </w:rPr>
            </w:pPr>
            <w:r w:rsidRPr="00966D0D">
              <w:rPr>
                <w:rFonts w:ascii="Times New Roman" w:hAnsi="Times New Roman" w:cs="Times New Roman"/>
                <w:b/>
              </w:rPr>
              <w:t>68</w:t>
            </w:r>
          </w:p>
        </w:tc>
        <w:tc>
          <w:tcPr>
            <w:tcW w:w="2154" w:type="dxa"/>
            <w:tcBorders>
              <w:top w:val="nil"/>
              <w:bottom w:val="nil"/>
            </w:tcBorders>
          </w:tcPr>
          <w:p w14:paraId="7A4D405E" w14:textId="5AEB2181" w:rsidR="004D5A06" w:rsidRPr="00966D0D" w:rsidRDefault="004D5A06" w:rsidP="0086535E">
            <w:pPr>
              <w:tabs>
                <w:tab w:val="decimal" w:pos="1107"/>
              </w:tabs>
              <w:rPr>
                <w:rFonts w:ascii="Times New Roman" w:hAnsi="Times New Roman" w:cs="Times New Roman"/>
                <w:b/>
                <w:bCs/>
                <w:color w:val="000000"/>
              </w:rPr>
            </w:pPr>
            <w:r w:rsidRPr="00966D0D">
              <w:rPr>
                <w:rFonts w:ascii="Times New Roman" w:hAnsi="Times New Roman" w:cs="Times New Roman"/>
                <w:b/>
              </w:rPr>
              <w:t>66</w:t>
            </w:r>
          </w:p>
        </w:tc>
        <w:tc>
          <w:tcPr>
            <w:tcW w:w="2154" w:type="dxa"/>
            <w:tcBorders>
              <w:top w:val="nil"/>
              <w:bottom w:val="nil"/>
            </w:tcBorders>
          </w:tcPr>
          <w:p w14:paraId="00AB4C64" w14:textId="09713286" w:rsidR="004D5A06" w:rsidRPr="00966D0D" w:rsidRDefault="004D5A06" w:rsidP="0086535E">
            <w:pPr>
              <w:tabs>
                <w:tab w:val="decimal" w:pos="1221"/>
              </w:tabs>
              <w:rPr>
                <w:rFonts w:ascii="Times New Roman" w:hAnsi="Times New Roman" w:cs="Times New Roman"/>
                <w:b/>
                <w:bCs/>
                <w:color w:val="000000"/>
              </w:rPr>
            </w:pPr>
            <w:r w:rsidRPr="00966D0D">
              <w:rPr>
                <w:rFonts w:ascii="Times New Roman" w:hAnsi="Times New Roman" w:cs="Times New Roman"/>
                <w:b/>
              </w:rPr>
              <w:t>78</w:t>
            </w:r>
          </w:p>
        </w:tc>
      </w:tr>
      <w:tr w:rsidR="00BF0B60" w:rsidRPr="00B824AA" w14:paraId="37DA18CD" w14:textId="77777777" w:rsidTr="00C9487A">
        <w:tc>
          <w:tcPr>
            <w:tcW w:w="2551" w:type="dxa"/>
            <w:tcBorders>
              <w:top w:val="nil"/>
              <w:bottom w:val="nil"/>
            </w:tcBorders>
            <w:vAlign w:val="center"/>
          </w:tcPr>
          <w:p w14:paraId="0A765F47" w14:textId="77777777" w:rsidR="00BF0B60" w:rsidRPr="00B824AA" w:rsidRDefault="00BF0B60" w:rsidP="00CC3BD8">
            <w:pPr>
              <w:ind w:left="316"/>
              <w:rPr>
                <w:rFonts w:ascii="Times New Roman" w:hAnsi="Times New Roman" w:cs="Times New Roman"/>
                <w:color w:val="000000"/>
              </w:rPr>
            </w:pPr>
          </w:p>
          <w:p w14:paraId="7A31ED26" w14:textId="77777777" w:rsidR="00BF0B60" w:rsidRPr="00B824AA" w:rsidRDefault="00BF0B60" w:rsidP="00CC3BD8">
            <w:pPr>
              <w:ind w:left="316"/>
              <w:rPr>
                <w:rFonts w:ascii="Times New Roman" w:hAnsi="Times New Roman" w:cs="Times New Roman"/>
              </w:rPr>
            </w:pPr>
            <w:r w:rsidRPr="00B824AA">
              <w:rPr>
                <w:rFonts w:ascii="Times New Roman" w:hAnsi="Times New Roman" w:cs="Times New Roman"/>
              </w:rPr>
              <w:t>Zużycie wody</w:t>
            </w:r>
          </w:p>
        </w:tc>
        <w:tc>
          <w:tcPr>
            <w:tcW w:w="2154" w:type="dxa"/>
            <w:tcBorders>
              <w:top w:val="nil"/>
              <w:bottom w:val="nil"/>
            </w:tcBorders>
            <w:vAlign w:val="bottom"/>
          </w:tcPr>
          <w:p w14:paraId="6863BA25" w14:textId="77777777" w:rsidR="00BF0B60" w:rsidRPr="00B824AA" w:rsidRDefault="00BF0B60" w:rsidP="00CC3BD8">
            <w:pPr>
              <w:tabs>
                <w:tab w:val="decimal" w:pos="1135"/>
              </w:tabs>
              <w:rPr>
                <w:rFonts w:ascii="Times New Roman" w:hAnsi="Times New Roman" w:cs="Times New Roman"/>
              </w:rPr>
            </w:pPr>
          </w:p>
        </w:tc>
        <w:tc>
          <w:tcPr>
            <w:tcW w:w="2154" w:type="dxa"/>
            <w:tcBorders>
              <w:top w:val="nil"/>
              <w:bottom w:val="nil"/>
            </w:tcBorders>
            <w:vAlign w:val="bottom"/>
          </w:tcPr>
          <w:p w14:paraId="54E91AA5" w14:textId="77777777" w:rsidR="00BF0B60" w:rsidRPr="00B824AA" w:rsidRDefault="00BF0B60" w:rsidP="00CC3BD8">
            <w:pPr>
              <w:tabs>
                <w:tab w:val="decimal" w:pos="1107"/>
              </w:tabs>
              <w:rPr>
                <w:rFonts w:ascii="Times New Roman" w:hAnsi="Times New Roman" w:cs="Times New Roman"/>
              </w:rPr>
            </w:pPr>
          </w:p>
        </w:tc>
        <w:tc>
          <w:tcPr>
            <w:tcW w:w="2154" w:type="dxa"/>
            <w:tcBorders>
              <w:top w:val="nil"/>
              <w:bottom w:val="nil"/>
            </w:tcBorders>
            <w:vAlign w:val="bottom"/>
          </w:tcPr>
          <w:p w14:paraId="0DB019CA" w14:textId="77777777" w:rsidR="00BF0B60" w:rsidRPr="00B824AA" w:rsidRDefault="00BF0B60" w:rsidP="00CC3BD8">
            <w:pPr>
              <w:tabs>
                <w:tab w:val="decimal" w:pos="1221"/>
              </w:tabs>
              <w:rPr>
                <w:rFonts w:ascii="Times New Roman" w:hAnsi="Times New Roman" w:cs="Times New Roman"/>
              </w:rPr>
            </w:pPr>
          </w:p>
        </w:tc>
      </w:tr>
      <w:tr w:rsidR="005017C3" w:rsidRPr="00B824AA" w14:paraId="46428204" w14:textId="77777777" w:rsidTr="00866620">
        <w:tc>
          <w:tcPr>
            <w:tcW w:w="2551" w:type="dxa"/>
            <w:tcBorders>
              <w:top w:val="nil"/>
              <w:bottom w:val="nil"/>
            </w:tcBorders>
            <w:vAlign w:val="center"/>
          </w:tcPr>
          <w:p w14:paraId="44F62FB6" w14:textId="77777777" w:rsidR="005017C3" w:rsidRPr="00B824AA" w:rsidRDefault="005017C3" w:rsidP="006D133C">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33913EA5" w14:textId="4609E98A" w:rsidR="005017C3" w:rsidRPr="005017C3" w:rsidRDefault="005017C3" w:rsidP="006D133C">
            <w:pPr>
              <w:tabs>
                <w:tab w:val="decimal" w:pos="1135"/>
              </w:tabs>
              <w:rPr>
                <w:rFonts w:ascii="Times New Roman" w:hAnsi="Times New Roman" w:cs="Times New Roman"/>
              </w:rPr>
            </w:pPr>
            <w:r w:rsidRPr="005017C3">
              <w:rPr>
                <w:rFonts w:ascii="Times New Roman" w:hAnsi="Times New Roman" w:cs="Times New Roman"/>
              </w:rPr>
              <w:t>51</w:t>
            </w:r>
          </w:p>
        </w:tc>
        <w:tc>
          <w:tcPr>
            <w:tcW w:w="2154" w:type="dxa"/>
            <w:tcBorders>
              <w:top w:val="nil"/>
              <w:bottom w:val="nil"/>
            </w:tcBorders>
          </w:tcPr>
          <w:p w14:paraId="661D1E80" w14:textId="05513D29" w:rsidR="005017C3" w:rsidRPr="005017C3" w:rsidRDefault="005017C3" w:rsidP="006D133C">
            <w:pPr>
              <w:tabs>
                <w:tab w:val="decimal" w:pos="1107"/>
              </w:tabs>
              <w:rPr>
                <w:rFonts w:ascii="Times New Roman" w:hAnsi="Times New Roman" w:cs="Times New Roman"/>
              </w:rPr>
            </w:pPr>
            <w:r w:rsidRPr="005017C3">
              <w:rPr>
                <w:rFonts w:ascii="Times New Roman" w:hAnsi="Times New Roman" w:cs="Times New Roman"/>
              </w:rPr>
              <w:t>78</w:t>
            </w:r>
          </w:p>
        </w:tc>
        <w:tc>
          <w:tcPr>
            <w:tcW w:w="2154" w:type="dxa"/>
            <w:tcBorders>
              <w:top w:val="nil"/>
              <w:bottom w:val="nil"/>
            </w:tcBorders>
          </w:tcPr>
          <w:p w14:paraId="0627F72F" w14:textId="18A40232" w:rsidR="005017C3" w:rsidRPr="005017C3" w:rsidRDefault="005017C3" w:rsidP="006D133C">
            <w:pPr>
              <w:tabs>
                <w:tab w:val="decimal" w:pos="1221"/>
              </w:tabs>
              <w:rPr>
                <w:rFonts w:ascii="Times New Roman" w:hAnsi="Times New Roman" w:cs="Times New Roman"/>
              </w:rPr>
            </w:pPr>
            <w:r w:rsidRPr="005017C3">
              <w:rPr>
                <w:rFonts w:ascii="Times New Roman" w:hAnsi="Times New Roman" w:cs="Times New Roman"/>
              </w:rPr>
              <w:t>22</w:t>
            </w:r>
          </w:p>
        </w:tc>
      </w:tr>
      <w:tr w:rsidR="005017C3" w:rsidRPr="00B824AA" w14:paraId="1BDCCD15" w14:textId="77777777" w:rsidTr="00866620">
        <w:tc>
          <w:tcPr>
            <w:tcW w:w="2551" w:type="dxa"/>
            <w:tcBorders>
              <w:top w:val="nil"/>
              <w:bottom w:val="nil"/>
            </w:tcBorders>
            <w:vAlign w:val="center"/>
          </w:tcPr>
          <w:p w14:paraId="0082B949" w14:textId="77777777" w:rsidR="005017C3" w:rsidRPr="00B824AA" w:rsidRDefault="005017C3" w:rsidP="006D133C">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320AD33A" w14:textId="66F509C2" w:rsidR="005017C3" w:rsidRPr="005017C3" w:rsidRDefault="005017C3" w:rsidP="006D133C">
            <w:pPr>
              <w:tabs>
                <w:tab w:val="decimal" w:pos="1135"/>
              </w:tabs>
              <w:rPr>
                <w:rFonts w:ascii="Times New Roman" w:hAnsi="Times New Roman" w:cs="Times New Roman"/>
              </w:rPr>
            </w:pPr>
            <w:r w:rsidRPr="005017C3">
              <w:rPr>
                <w:rFonts w:ascii="Times New Roman" w:hAnsi="Times New Roman" w:cs="Times New Roman"/>
              </w:rPr>
              <w:t>41</w:t>
            </w:r>
          </w:p>
        </w:tc>
        <w:tc>
          <w:tcPr>
            <w:tcW w:w="2154" w:type="dxa"/>
            <w:tcBorders>
              <w:top w:val="nil"/>
              <w:bottom w:val="nil"/>
            </w:tcBorders>
          </w:tcPr>
          <w:p w14:paraId="64562A44" w14:textId="61845042" w:rsidR="005017C3" w:rsidRPr="005017C3" w:rsidRDefault="005017C3" w:rsidP="006D133C">
            <w:pPr>
              <w:tabs>
                <w:tab w:val="decimal" w:pos="1107"/>
              </w:tabs>
              <w:rPr>
                <w:rFonts w:ascii="Times New Roman" w:hAnsi="Times New Roman" w:cs="Times New Roman"/>
              </w:rPr>
            </w:pPr>
            <w:r w:rsidRPr="005017C3">
              <w:rPr>
                <w:rFonts w:ascii="Times New Roman" w:hAnsi="Times New Roman" w:cs="Times New Roman"/>
              </w:rPr>
              <w:t>53</w:t>
            </w:r>
          </w:p>
        </w:tc>
        <w:tc>
          <w:tcPr>
            <w:tcW w:w="2154" w:type="dxa"/>
            <w:tcBorders>
              <w:top w:val="nil"/>
              <w:bottom w:val="nil"/>
            </w:tcBorders>
          </w:tcPr>
          <w:p w14:paraId="58A06202" w14:textId="2C07ECB0" w:rsidR="005017C3" w:rsidRPr="005017C3" w:rsidRDefault="005017C3" w:rsidP="006D133C">
            <w:pPr>
              <w:tabs>
                <w:tab w:val="decimal" w:pos="1221"/>
              </w:tabs>
              <w:rPr>
                <w:rFonts w:ascii="Times New Roman" w:hAnsi="Times New Roman" w:cs="Times New Roman"/>
              </w:rPr>
            </w:pPr>
            <w:r w:rsidRPr="005017C3">
              <w:rPr>
                <w:rFonts w:ascii="Times New Roman" w:hAnsi="Times New Roman" w:cs="Times New Roman"/>
              </w:rPr>
              <w:t>23</w:t>
            </w:r>
          </w:p>
        </w:tc>
      </w:tr>
      <w:tr w:rsidR="005017C3" w:rsidRPr="00B824AA" w14:paraId="362198C5" w14:textId="77777777" w:rsidTr="00866620">
        <w:tc>
          <w:tcPr>
            <w:tcW w:w="2551" w:type="dxa"/>
            <w:tcBorders>
              <w:top w:val="nil"/>
              <w:bottom w:val="nil"/>
            </w:tcBorders>
            <w:vAlign w:val="center"/>
          </w:tcPr>
          <w:p w14:paraId="00B456C1" w14:textId="77777777" w:rsidR="005017C3" w:rsidRPr="00B824AA" w:rsidRDefault="005017C3" w:rsidP="006D133C">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2170DF77" w14:textId="470FE751" w:rsidR="005017C3" w:rsidRPr="005017C3" w:rsidRDefault="005017C3" w:rsidP="006D133C">
            <w:pPr>
              <w:tabs>
                <w:tab w:val="decimal" w:pos="1135"/>
              </w:tabs>
              <w:rPr>
                <w:rFonts w:ascii="Times New Roman" w:hAnsi="Times New Roman" w:cs="Times New Roman"/>
              </w:rPr>
            </w:pPr>
            <w:r w:rsidRPr="005017C3">
              <w:rPr>
                <w:rFonts w:ascii="Times New Roman" w:hAnsi="Times New Roman" w:cs="Times New Roman"/>
              </w:rPr>
              <w:t>46</w:t>
            </w:r>
          </w:p>
        </w:tc>
        <w:tc>
          <w:tcPr>
            <w:tcW w:w="2154" w:type="dxa"/>
            <w:tcBorders>
              <w:top w:val="nil"/>
              <w:bottom w:val="nil"/>
            </w:tcBorders>
          </w:tcPr>
          <w:p w14:paraId="0239984D" w14:textId="4829DDED" w:rsidR="005017C3" w:rsidRPr="005017C3" w:rsidRDefault="005017C3" w:rsidP="006D133C">
            <w:pPr>
              <w:tabs>
                <w:tab w:val="decimal" w:pos="1107"/>
              </w:tabs>
              <w:rPr>
                <w:rFonts w:ascii="Times New Roman" w:hAnsi="Times New Roman" w:cs="Times New Roman"/>
              </w:rPr>
            </w:pPr>
            <w:r w:rsidRPr="005017C3">
              <w:rPr>
                <w:rFonts w:ascii="Times New Roman" w:hAnsi="Times New Roman" w:cs="Times New Roman"/>
              </w:rPr>
              <w:t>64</w:t>
            </w:r>
          </w:p>
        </w:tc>
        <w:tc>
          <w:tcPr>
            <w:tcW w:w="2154" w:type="dxa"/>
            <w:tcBorders>
              <w:top w:val="nil"/>
              <w:bottom w:val="nil"/>
            </w:tcBorders>
          </w:tcPr>
          <w:p w14:paraId="76946633" w14:textId="09339C3A" w:rsidR="005017C3" w:rsidRPr="005017C3" w:rsidRDefault="005017C3" w:rsidP="006D133C">
            <w:pPr>
              <w:tabs>
                <w:tab w:val="decimal" w:pos="1221"/>
              </w:tabs>
              <w:rPr>
                <w:rFonts w:ascii="Times New Roman" w:hAnsi="Times New Roman" w:cs="Times New Roman"/>
              </w:rPr>
            </w:pPr>
            <w:r w:rsidRPr="005017C3">
              <w:rPr>
                <w:rFonts w:ascii="Times New Roman" w:hAnsi="Times New Roman" w:cs="Times New Roman"/>
              </w:rPr>
              <w:t>22</w:t>
            </w:r>
          </w:p>
        </w:tc>
      </w:tr>
      <w:tr w:rsidR="005017C3" w:rsidRPr="00B824AA" w14:paraId="5BA4C51D" w14:textId="77777777" w:rsidTr="00866620">
        <w:tc>
          <w:tcPr>
            <w:tcW w:w="2551" w:type="dxa"/>
            <w:tcBorders>
              <w:top w:val="nil"/>
              <w:bottom w:val="nil"/>
            </w:tcBorders>
            <w:vAlign w:val="center"/>
          </w:tcPr>
          <w:p w14:paraId="6C351E49" w14:textId="77777777" w:rsidR="005017C3" w:rsidRPr="00B824AA" w:rsidRDefault="005017C3" w:rsidP="006D133C">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4CD7C14B" w14:textId="1BFD095B" w:rsidR="005017C3" w:rsidRPr="005017C3" w:rsidRDefault="005017C3" w:rsidP="006D133C">
            <w:pPr>
              <w:tabs>
                <w:tab w:val="decimal" w:pos="1135"/>
              </w:tabs>
              <w:rPr>
                <w:rFonts w:ascii="Times New Roman" w:hAnsi="Times New Roman" w:cs="Times New Roman"/>
              </w:rPr>
            </w:pPr>
            <w:r w:rsidRPr="005017C3">
              <w:rPr>
                <w:rFonts w:ascii="Times New Roman" w:hAnsi="Times New Roman" w:cs="Times New Roman"/>
              </w:rPr>
              <w:t>19</w:t>
            </w:r>
          </w:p>
        </w:tc>
        <w:tc>
          <w:tcPr>
            <w:tcW w:w="2154" w:type="dxa"/>
            <w:tcBorders>
              <w:top w:val="nil"/>
              <w:bottom w:val="nil"/>
            </w:tcBorders>
          </w:tcPr>
          <w:p w14:paraId="0C1F2DF2" w14:textId="555CA8F2" w:rsidR="005017C3" w:rsidRPr="005017C3" w:rsidRDefault="005017C3" w:rsidP="006D133C">
            <w:pPr>
              <w:tabs>
                <w:tab w:val="decimal" w:pos="1107"/>
              </w:tabs>
              <w:rPr>
                <w:rFonts w:ascii="Times New Roman" w:hAnsi="Times New Roman" w:cs="Times New Roman"/>
              </w:rPr>
            </w:pPr>
            <w:r w:rsidRPr="005017C3">
              <w:rPr>
                <w:rFonts w:ascii="Times New Roman" w:hAnsi="Times New Roman" w:cs="Times New Roman"/>
              </w:rPr>
              <w:t>18</w:t>
            </w:r>
          </w:p>
        </w:tc>
        <w:tc>
          <w:tcPr>
            <w:tcW w:w="2154" w:type="dxa"/>
            <w:tcBorders>
              <w:top w:val="nil"/>
              <w:bottom w:val="nil"/>
            </w:tcBorders>
          </w:tcPr>
          <w:p w14:paraId="23324C45" w14:textId="5ECA314A" w:rsidR="005017C3" w:rsidRPr="005017C3" w:rsidRDefault="005017C3" w:rsidP="006D133C">
            <w:pPr>
              <w:tabs>
                <w:tab w:val="decimal" w:pos="1221"/>
              </w:tabs>
              <w:rPr>
                <w:rFonts w:ascii="Times New Roman" w:hAnsi="Times New Roman" w:cs="Times New Roman"/>
              </w:rPr>
            </w:pPr>
            <w:r w:rsidRPr="005017C3">
              <w:rPr>
                <w:rFonts w:ascii="Times New Roman" w:hAnsi="Times New Roman" w:cs="Times New Roman"/>
              </w:rPr>
              <w:t>19</w:t>
            </w:r>
          </w:p>
        </w:tc>
      </w:tr>
      <w:tr w:rsidR="005017C3" w:rsidRPr="00B824AA" w14:paraId="513E343B" w14:textId="77777777" w:rsidTr="00866620">
        <w:tc>
          <w:tcPr>
            <w:tcW w:w="2551" w:type="dxa"/>
            <w:tcBorders>
              <w:top w:val="nil"/>
              <w:bottom w:val="nil"/>
            </w:tcBorders>
            <w:vAlign w:val="center"/>
          </w:tcPr>
          <w:p w14:paraId="559FE979" w14:textId="5A668C94" w:rsidR="005017C3" w:rsidRPr="00B824AA" w:rsidRDefault="005017C3" w:rsidP="006D133C">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72CC9C99" w14:textId="0DD1DADF" w:rsidR="005017C3" w:rsidRPr="005017C3" w:rsidRDefault="005017C3" w:rsidP="006D133C">
            <w:pPr>
              <w:tabs>
                <w:tab w:val="decimal" w:pos="1135"/>
              </w:tabs>
              <w:rPr>
                <w:rFonts w:ascii="Times New Roman" w:hAnsi="Times New Roman" w:cs="Times New Roman"/>
                <w:color w:val="000000"/>
              </w:rPr>
            </w:pPr>
            <w:r w:rsidRPr="005017C3">
              <w:rPr>
                <w:rFonts w:ascii="Times New Roman" w:hAnsi="Times New Roman" w:cs="Times New Roman"/>
              </w:rPr>
              <w:t>19</w:t>
            </w:r>
          </w:p>
        </w:tc>
        <w:tc>
          <w:tcPr>
            <w:tcW w:w="2154" w:type="dxa"/>
            <w:tcBorders>
              <w:top w:val="nil"/>
              <w:bottom w:val="nil"/>
            </w:tcBorders>
          </w:tcPr>
          <w:p w14:paraId="2EA08B06" w14:textId="46C66192" w:rsidR="005017C3" w:rsidRPr="005017C3" w:rsidRDefault="005017C3" w:rsidP="006D133C">
            <w:pPr>
              <w:tabs>
                <w:tab w:val="decimal" w:pos="1107"/>
              </w:tabs>
              <w:rPr>
                <w:rFonts w:ascii="Times New Roman" w:hAnsi="Times New Roman" w:cs="Times New Roman"/>
                <w:color w:val="000000"/>
              </w:rPr>
            </w:pPr>
            <w:r w:rsidRPr="005017C3">
              <w:rPr>
                <w:rFonts w:ascii="Times New Roman" w:hAnsi="Times New Roman" w:cs="Times New Roman"/>
              </w:rPr>
              <w:t>18</w:t>
            </w:r>
          </w:p>
        </w:tc>
        <w:tc>
          <w:tcPr>
            <w:tcW w:w="2154" w:type="dxa"/>
            <w:tcBorders>
              <w:top w:val="nil"/>
              <w:bottom w:val="nil"/>
            </w:tcBorders>
          </w:tcPr>
          <w:p w14:paraId="60023F2B" w14:textId="4399FF99" w:rsidR="005017C3" w:rsidRPr="005017C3" w:rsidRDefault="005017C3" w:rsidP="006D133C">
            <w:pPr>
              <w:tabs>
                <w:tab w:val="decimal" w:pos="1221"/>
              </w:tabs>
              <w:rPr>
                <w:rFonts w:ascii="Times New Roman" w:hAnsi="Times New Roman" w:cs="Times New Roman"/>
                <w:color w:val="000000"/>
              </w:rPr>
            </w:pPr>
            <w:r w:rsidRPr="005017C3">
              <w:rPr>
                <w:rFonts w:ascii="Times New Roman" w:hAnsi="Times New Roman" w:cs="Times New Roman"/>
              </w:rPr>
              <w:t>19</w:t>
            </w:r>
          </w:p>
        </w:tc>
      </w:tr>
      <w:tr w:rsidR="00BF0B60" w:rsidRPr="00B824AA" w14:paraId="27B5C2E2" w14:textId="77777777" w:rsidTr="00C9487A">
        <w:tc>
          <w:tcPr>
            <w:tcW w:w="2551" w:type="dxa"/>
            <w:tcBorders>
              <w:top w:val="nil"/>
              <w:bottom w:val="nil"/>
            </w:tcBorders>
            <w:vAlign w:val="center"/>
          </w:tcPr>
          <w:p w14:paraId="11FDB267" w14:textId="77777777" w:rsidR="00B41C82" w:rsidRPr="00B824AA" w:rsidRDefault="00B41C82" w:rsidP="00CC3BD8">
            <w:pPr>
              <w:ind w:left="316"/>
              <w:rPr>
                <w:rFonts w:ascii="Times New Roman" w:hAnsi="Times New Roman" w:cs="Times New Roman"/>
              </w:rPr>
            </w:pPr>
          </w:p>
          <w:p w14:paraId="41EE9575" w14:textId="5B2ABF67" w:rsidR="00BF0B60" w:rsidRPr="00B824AA" w:rsidRDefault="00BF0B60" w:rsidP="00CC3BD8">
            <w:pPr>
              <w:ind w:left="316"/>
              <w:rPr>
                <w:rFonts w:ascii="Times New Roman" w:hAnsi="Times New Roman" w:cs="Times New Roman"/>
              </w:rPr>
            </w:pPr>
            <w:r w:rsidRPr="00B824AA">
              <w:rPr>
                <w:rFonts w:ascii="Times New Roman" w:hAnsi="Times New Roman" w:cs="Times New Roman"/>
              </w:rPr>
              <w:t xml:space="preserve">Energia odnawialna </w:t>
            </w:r>
          </w:p>
        </w:tc>
        <w:tc>
          <w:tcPr>
            <w:tcW w:w="2154" w:type="dxa"/>
            <w:tcBorders>
              <w:top w:val="nil"/>
              <w:bottom w:val="nil"/>
            </w:tcBorders>
            <w:vAlign w:val="bottom"/>
          </w:tcPr>
          <w:p w14:paraId="78E885D0" w14:textId="77777777" w:rsidR="00BF0B60" w:rsidRPr="00B824AA" w:rsidRDefault="00BF0B60" w:rsidP="00CC3BD8">
            <w:pPr>
              <w:tabs>
                <w:tab w:val="decimal" w:pos="1135"/>
              </w:tabs>
              <w:rPr>
                <w:rFonts w:ascii="Times New Roman" w:hAnsi="Times New Roman" w:cs="Times New Roman"/>
              </w:rPr>
            </w:pPr>
          </w:p>
        </w:tc>
        <w:tc>
          <w:tcPr>
            <w:tcW w:w="2154" w:type="dxa"/>
            <w:tcBorders>
              <w:top w:val="nil"/>
              <w:bottom w:val="nil"/>
            </w:tcBorders>
            <w:vAlign w:val="bottom"/>
          </w:tcPr>
          <w:p w14:paraId="0B627460" w14:textId="77777777" w:rsidR="00BF0B60" w:rsidRPr="00B824AA" w:rsidRDefault="00BF0B60" w:rsidP="00CC3BD8">
            <w:pPr>
              <w:tabs>
                <w:tab w:val="decimal" w:pos="1107"/>
              </w:tabs>
              <w:rPr>
                <w:rFonts w:ascii="Times New Roman" w:hAnsi="Times New Roman" w:cs="Times New Roman"/>
              </w:rPr>
            </w:pPr>
          </w:p>
        </w:tc>
        <w:tc>
          <w:tcPr>
            <w:tcW w:w="2154" w:type="dxa"/>
            <w:tcBorders>
              <w:top w:val="nil"/>
              <w:bottom w:val="nil"/>
            </w:tcBorders>
            <w:vAlign w:val="bottom"/>
          </w:tcPr>
          <w:p w14:paraId="5B174B6F" w14:textId="77777777" w:rsidR="00BF0B60" w:rsidRPr="00B824AA" w:rsidRDefault="00BF0B60" w:rsidP="00CC3BD8">
            <w:pPr>
              <w:tabs>
                <w:tab w:val="decimal" w:pos="1221"/>
              </w:tabs>
              <w:rPr>
                <w:rFonts w:ascii="Times New Roman" w:hAnsi="Times New Roman" w:cs="Times New Roman"/>
              </w:rPr>
            </w:pPr>
          </w:p>
        </w:tc>
      </w:tr>
      <w:tr w:rsidR="00CB5C47" w:rsidRPr="00B824AA" w14:paraId="1B301A93" w14:textId="77777777" w:rsidTr="00866620">
        <w:tc>
          <w:tcPr>
            <w:tcW w:w="2551" w:type="dxa"/>
            <w:tcBorders>
              <w:top w:val="nil"/>
              <w:bottom w:val="nil"/>
            </w:tcBorders>
            <w:vAlign w:val="center"/>
          </w:tcPr>
          <w:p w14:paraId="03021E9D" w14:textId="77777777" w:rsidR="00CB5C47" w:rsidRPr="00B824AA" w:rsidRDefault="00CB5C47" w:rsidP="00CB5AC6">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035D1D98" w14:textId="4CEF4595" w:rsidR="00CB5C47" w:rsidRPr="00CB5C47" w:rsidRDefault="00CB5C47" w:rsidP="00CB5AC6">
            <w:pPr>
              <w:tabs>
                <w:tab w:val="decimal" w:pos="1135"/>
              </w:tabs>
              <w:rPr>
                <w:rFonts w:ascii="Times New Roman" w:hAnsi="Times New Roman" w:cs="Times New Roman"/>
              </w:rPr>
            </w:pPr>
            <w:r w:rsidRPr="00CB5C47">
              <w:rPr>
                <w:rFonts w:ascii="Times New Roman" w:hAnsi="Times New Roman" w:cs="Times New Roman"/>
              </w:rPr>
              <w:t>66</w:t>
            </w:r>
          </w:p>
        </w:tc>
        <w:tc>
          <w:tcPr>
            <w:tcW w:w="2154" w:type="dxa"/>
            <w:tcBorders>
              <w:top w:val="nil"/>
              <w:bottom w:val="nil"/>
            </w:tcBorders>
          </w:tcPr>
          <w:p w14:paraId="2644F84F" w14:textId="124D311C" w:rsidR="00CB5C47" w:rsidRPr="00CB5C47" w:rsidRDefault="00CB5C47" w:rsidP="00CB5AC6">
            <w:pPr>
              <w:tabs>
                <w:tab w:val="decimal" w:pos="1107"/>
              </w:tabs>
              <w:rPr>
                <w:rFonts w:ascii="Times New Roman" w:hAnsi="Times New Roman" w:cs="Times New Roman"/>
              </w:rPr>
            </w:pPr>
            <w:r w:rsidRPr="00CB5C47">
              <w:rPr>
                <w:rFonts w:ascii="Times New Roman" w:hAnsi="Times New Roman" w:cs="Times New Roman"/>
              </w:rPr>
              <w:t>66</w:t>
            </w:r>
          </w:p>
        </w:tc>
        <w:tc>
          <w:tcPr>
            <w:tcW w:w="2154" w:type="dxa"/>
            <w:tcBorders>
              <w:top w:val="nil"/>
              <w:bottom w:val="nil"/>
            </w:tcBorders>
          </w:tcPr>
          <w:p w14:paraId="3EF6BFFD" w14:textId="3661B9B1" w:rsidR="00CB5C47" w:rsidRPr="00CB5C47" w:rsidRDefault="00CB5C47" w:rsidP="00CB5AC6">
            <w:pPr>
              <w:tabs>
                <w:tab w:val="decimal" w:pos="1221"/>
              </w:tabs>
              <w:rPr>
                <w:rFonts w:ascii="Times New Roman" w:hAnsi="Times New Roman" w:cs="Times New Roman"/>
              </w:rPr>
            </w:pPr>
            <w:r w:rsidRPr="00CB5C47">
              <w:rPr>
                <w:rFonts w:ascii="Times New Roman" w:hAnsi="Times New Roman" w:cs="Times New Roman"/>
              </w:rPr>
              <w:t>64</w:t>
            </w:r>
          </w:p>
        </w:tc>
      </w:tr>
      <w:tr w:rsidR="00CB5C47" w:rsidRPr="00B824AA" w14:paraId="0A4BC825" w14:textId="77777777" w:rsidTr="00866620">
        <w:tc>
          <w:tcPr>
            <w:tcW w:w="2551" w:type="dxa"/>
            <w:tcBorders>
              <w:top w:val="nil"/>
              <w:bottom w:val="nil"/>
            </w:tcBorders>
            <w:vAlign w:val="center"/>
          </w:tcPr>
          <w:p w14:paraId="1F784A7A" w14:textId="77777777" w:rsidR="00CB5C47" w:rsidRPr="00B824AA" w:rsidRDefault="00CB5C47" w:rsidP="00CB5AC6">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64CDF253" w14:textId="5E1D8FD2" w:rsidR="00CB5C47" w:rsidRPr="00CB5C47" w:rsidRDefault="00CB5C47" w:rsidP="00CB5AC6">
            <w:pPr>
              <w:tabs>
                <w:tab w:val="decimal" w:pos="1135"/>
              </w:tabs>
              <w:rPr>
                <w:rFonts w:ascii="Times New Roman" w:hAnsi="Times New Roman" w:cs="Times New Roman"/>
              </w:rPr>
            </w:pPr>
            <w:r w:rsidRPr="00CB5C47">
              <w:rPr>
                <w:rFonts w:ascii="Times New Roman" w:hAnsi="Times New Roman" w:cs="Times New Roman"/>
              </w:rPr>
              <w:t>68</w:t>
            </w:r>
          </w:p>
        </w:tc>
        <w:tc>
          <w:tcPr>
            <w:tcW w:w="2154" w:type="dxa"/>
            <w:tcBorders>
              <w:top w:val="nil"/>
              <w:bottom w:val="nil"/>
            </w:tcBorders>
          </w:tcPr>
          <w:p w14:paraId="4BD64958" w14:textId="2F2340EF" w:rsidR="00CB5C47" w:rsidRPr="00CB5C47" w:rsidRDefault="00CB5C47" w:rsidP="00CB5AC6">
            <w:pPr>
              <w:tabs>
                <w:tab w:val="decimal" w:pos="1107"/>
              </w:tabs>
              <w:rPr>
                <w:rFonts w:ascii="Times New Roman" w:hAnsi="Times New Roman" w:cs="Times New Roman"/>
              </w:rPr>
            </w:pPr>
            <w:r w:rsidRPr="00CB5C47">
              <w:rPr>
                <w:rFonts w:ascii="Times New Roman" w:hAnsi="Times New Roman" w:cs="Times New Roman"/>
              </w:rPr>
              <w:t>67</w:t>
            </w:r>
          </w:p>
        </w:tc>
        <w:tc>
          <w:tcPr>
            <w:tcW w:w="2154" w:type="dxa"/>
            <w:tcBorders>
              <w:top w:val="nil"/>
              <w:bottom w:val="nil"/>
            </w:tcBorders>
          </w:tcPr>
          <w:p w14:paraId="76C8A416" w14:textId="767EDBE6" w:rsidR="00CB5C47" w:rsidRPr="00CB5C47" w:rsidRDefault="00CB5C47" w:rsidP="00CB5AC6">
            <w:pPr>
              <w:tabs>
                <w:tab w:val="decimal" w:pos="1221"/>
              </w:tabs>
              <w:rPr>
                <w:rFonts w:ascii="Times New Roman" w:hAnsi="Times New Roman" w:cs="Times New Roman"/>
              </w:rPr>
            </w:pPr>
            <w:r w:rsidRPr="00CB5C47">
              <w:rPr>
                <w:rFonts w:ascii="Times New Roman" w:hAnsi="Times New Roman" w:cs="Times New Roman"/>
              </w:rPr>
              <w:t>68</w:t>
            </w:r>
          </w:p>
        </w:tc>
      </w:tr>
      <w:tr w:rsidR="00CB5C47" w:rsidRPr="00B824AA" w14:paraId="77430510" w14:textId="77777777" w:rsidTr="00866620">
        <w:tc>
          <w:tcPr>
            <w:tcW w:w="2551" w:type="dxa"/>
            <w:tcBorders>
              <w:top w:val="nil"/>
              <w:bottom w:val="nil"/>
            </w:tcBorders>
            <w:vAlign w:val="center"/>
          </w:tcPr>
          <w:p w14:paraId="1849F981" w14:textId="77777777" w:rsidR="00CB5C47" w:rsidRPr="00B824AA" w:rsidRDefault="00CB5C47" w:rsidP="00CB5AC6">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68F576F8" w14:textId="7BC706E7" w:rsidR="00CB5C47" w:rsidRPr="00CB5C47" w:rsidRDefault="00CB5C47" w:rsidP="00CB5AC6">
            <w:pPr>
              <w:tabs>
                <w:tab w:val="decimal" w:pos="1135"/>
              </w:tabs>
              <w:rPr>
                <w:rFonts w:ascii="Times New Roman" w:hAnsi="Times New Roman" w:cs="Times New Roman"/>
              </w:rPr>
            </w:pPr>
            <w:r w:rsidRPr="00CB5C47">
              <w:rPr>
                <w:rFonts w:ascii="Times New Roman" w:hAnsi="Times New Roman" w:cs="Times New Roman"/>
              </w:rPr>
              <w:t>74</w:t>
            </w:r>
          </w:p>
        </w:tc>
        <w:tc>
          <w:tcPr>
            <w:tcW w:w="2154" w:type="dxa"/>
            <w:tcBorders>
              <w:top w:val="nil"/>
              <w:bottom w:val="nil"/>
            </w:tcBorders>
          </w:tcPr>
          <w:p w14:paraId="2BE1EF46" w14:textId="1D60D1F8" w:rsidR="00CB5C47" w:rsidRPr="00CB5C47" w:rsidRDefault="00CB5C47" w:rsidP="00CB5AC6">
            <w:pPr>
              <w:tabs>
                <w:tab w:val="decimal" w:pos="1107"/>
              </w:tabs>
              <w:rPr>
                <w:rFonts w:ascii="Times New Roman" w:hAnsi="Times New Roman" w:cs="Times New Roman"/>
              </w:rPr>
            </w:pPr>
            <w:r w:rsidRPr="00CB5C47">
              <w:rPr>
                <w:rFonts w:ascii="Times New Roman" w:hAnsi="Times New Roman" w:cs="Times New Roman"/>
              </w:rPr>
              <w:t>73</w:t>
            </w:r>
          </w:p>
        </w:tc>
        <w:tc>
          <w:tcPr>
            <w:tcW w:w="2154" w:type="dxa"/>
            <w:tcBorders>
              <w:top w:val="nil"/>
              <w:bottom w:val="nil"/>
            </w:tcBorders>
          </w:tcPr>
          <w:p w14:paraId="15A5087B" w14:textId="2663C8EC" w:rsidR="00CB5C47" w:rsidRPr="00CB5C47" w:rsidRDefault="00CB5C47" w:rsidP="00CB5AC6">
            <w:pPr>
              <w:tabs>
                <w:tab w:val="decimal" w:pos="1221"/>
              </w:tabs>
              <w:rPr>
                <w:rFonts w:ascii="Times New Roman" w:hAnsi="Times New Roman" w:cs="Times New Roman"/>
              </w:rPr>
            </w:pPr>
            <w:r w:rsidRPr="00CB5C47">
              <w:rPr>
                <w:rFonts w:ascii="Times New Roman" w:hAnsi="Times New Roman" w:cs="Times New Roman"/>
              </w:rPr>
              <w:t>81</w:t>
            </w:r>
          </w:p>
        </w:tc>
      </w:tr>
      <w:tr w:rsidR="00CB5C47" w:rsidRPr="00B824AA" w14:paraId="57525482" w14:textId="77777777" w:rsidTr="00866620">
        <w:tc>
          <w:tcPr>
            <w:tcW w:w="2551" w:type="dxa"/>
            <w:tcBorders>
              <w:top w:val="nil"/>
              <w:bottom w:val="nil"/>
            </w:tcBorders>
            <w:vAlign w:val="center"/>
          </w:tcPr>
          <w:p w14:paraId="4CB1E70B" w14:textId="77777777" w:rsidR="00CB5C47" w:rsidRPr="00B824AA" w:rsidRDefault="00CB5C47" w:rsidP="00CB5AC6">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5FF971BA" w14:textId="5D1FD78E" w:rsidR="00CB5C47" w:rsidRPr="00CB5C47" w:rsidRDefault="00CB5C47" w:rsidP="00CB5AC6">
            <w:pPr>
              <w:tabs>
                <w:tab w:val="decimal" w:pos="1135"/>
              </w:tabs>
              <w:rPr>
                <w:rFonts w:ascii="Times New Roman" w:hAnsi="Times New Roman" w:cs="Times New Roman"/>
              </w:rPr>
            </w:pPr>
            <w:r w:rsidRPr="00CB5C47">
              <w:rPr>
                <w:rFonts w:ascii="Times New Roman" w:hAnsi="Times New Roman" w:cs="Times New Roman"/>
              </w:rPr>
              <w:t>73</w:t>
            </w:r>
          </w:p>
        </w:tc>
        <w:tc>
          <w:tcPr>
            <w:tcW w:w="2154" w:type="dxa"/>
            <w:tcBorders>
              <w:top w:val="nil"/>
              <w:bottom w:val="nil"/>
            </w:tcBorders>
          </w:tcPr>
          <w:p w14:paraId="7F8CD983" w14:textId="299D49EA" w:rsidR="00CB5C47" w:rsidRPr="00CB5C47" w:rsidRDefault="00CB5C47" w:rsidP="00CB5AC6">
            <w:pPr>
              <w:tabs>
                <w:tab w:val="decimal" w:pos="1107"/>
              </w:tabs>
              <w:rPr>
                <w:rFonts w:ascii="Times New Roman" w:hAnsi="Times New Roman" w:cs="Times New Roman"/>
              </w:rPr>
            </w:pPr>
            <w:r w:rsidRPr="00CB5C47">
              <w:rPr>
                <w:rFonts w:ascii="Times New Roman" w:hAnsi="Times New Roman" w:cs="Times New Roman"/>
              </w:rPr>
              <w:t>71</w:t>
            </w:r>
          </w:p>
        </w:tc>
        <w:tc>
          <w:tcPr>
            <w:tcW w:w="2154" w:type="dxa"/>
            <w:tcBorders>
              <w:top w:val="nil"/>
              <w:bottom w:val="nil"/>
            </w:tcBorders>
          </w:tcPr>
          <w:p w14:paraId="59817AD6" w14:textId="12295BFE" w:rsidR="00CB5C47" w:rsidRPr="00CB5C47" w:rsidRDefault="00CB5C47" w:rsidP="00CB5AC6">
            <w:pPr>
              <w:tabs>
                <w:tab w:val="decimal" w:pos="1221"/>
              </w:tabs>
              <w:rPr>
                <w:rFonts w:ascii="Times New Roman" w:hAnsi="Times New Roman" w:cs="Times New Roman"/>
              </w:rPr>
            </w:pPr>
            <w:r w:rsidRPr="00CB5C47">
              <w:rPr>
                <w:rFonts w:ascii="Times New Roman" w:hAnsi="Times New Roman" w:cs="Times New Roman"/>
              </w:rPr>
              <w:t>80</w:t>
            </w:r>
          </w:p>
        </w:tc>
      </w:tr>
      <w:tr w:rsidR="00CB5C47" w:rsidRPr="00B824AA" w14:paraId="6FC020B5" w14:textId="77777777" w:rsidTr="00866620">
        <w:tc>
          <w:tcPr>
            <w:tcW w:w="2551" w:type="dxa"/>
            <w:tcBorders>
              <w:top w:val="nil"/>
              <w:bottom w:val="nil"/>
            </w:tcBorders>
            <w:vAlign w:val="center"/>
          </w:tcPr>
          <w:p w14:paraId="51313DA9" w14:textId="38B3A1D6" w:rsidR="00CB5C47" w:rsidRPr="00B824AA" w:rsidRDefault="00CB5C47" w:rsidP="00CB5AC6">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69176A2A" w14:textId="57BAEBC6" w:rsidR="00CB5C47" w:rsidRPr="00CB5C47" w:rsidRDefault="00CB5C47" w:rsidP="00CB5AC6">
            <w:pPr>
              <w:tabs>
                <w:tab w:val="decimal" w:pos="1135"/>
              </w:tabs>
              <w:rPr>
                <w:rFonts w:ascii="Times New Roman" w:hAnsi="Times New Roman" w:cs="Times New Roman"/>
                <w:color w:val="000000"/>
              </w:rPr>
            </w:pPr>
            <w:r w:rsidRPr="00CB5C47">
              <w:rPr>
                <w:rFonts w:ascii="Times New Roman" w:hAnsi="Times New Roman" w:cs="Times New Roman"/>
              </w:rPr>
              <w:t>75</w:t>
            </w:r>
          </w:p>
        </w:tc>
        <w:tc>
          <w:tcPr>
            <w:tcW w:w="2154" w:type="dxa"/>
            <w:tcBorders>
              <w:top w:val="nil"/>
              <w:bottom w:val="nil"/>
            </w:tcBorders>
          </w:tcPr>
          <w:p w14:paraId="4250AB11" w14:textId="38F3F63A" w:rsidR="00CB5C47" w:rsidRPr="00CB5C47" w:rsidRDefault="00CB5C47" w:rsidP="00CB5AC6">
            <w:pPr>
              <w:tabs>
                <w:tab w:val="decimal" w:pos="1107"/>
              </w:tabs>
              <w:rPr>
                <w:rFonts w:ascii="Times New Roman" w:hAnsi="Times New Roman" w:cs="Times New Roman"/>
                <w:color w:val="000000"/>
              </w:rPr>
            </w:pPr>
            <w:r w:rsidRPr="00CB5C47">
              <w:rPr>
                <w:rFonts w:ascii="Times New Roman" w:hAnsi="Times New Roman" w:cs="Times New Roman"/>
              </w:rPr>
              <w:t>74</w:t>
            </w:r>
          </w:p>
        </w:tc>
        <w:tc>
          <w:tcPr>
            <w:tcW w:w="2154" w:type="dxa"/>
            <w:tcBorders>
              <w:top w:val="nil"/>
              <w:bottom w:val="nil"/>
            </w:tcBorders>
          </w:tcPr>
          <w:p w14:paraId="2BBF94E7" w14:textId="0239ED1C" w:rsidR="00CB5C47" w:rsidRPr="00CB5C47" w:rsidRDefault="00CB5C47" w:rsidP="00CB5AC6">
            <w:pPr>
              <w:tabs>
                <w:tab w:val="decimal" w:pos="1221"/>
              </w:tabs>
              <w:rPr>
                <w:rFonts w:ascii="Times New Roman" w:hAnsi="Times New Roman" w:cs="Times New Roman"/>
                <w:color w:val="000000"/>
              </w:rPr>
            </w:pPr>
            <w:r w:rsidRPr="00CB5C47">
              <w:rPr>
                <w:rFonts w:ascii="Times New Roman" w:hAnsi="Times New Roman" w:cs="Times New Roman"/>
              </w:rPr>
              <w:t>83</w:t>
            </w:r>
          </w:p>
        </w:tc>
      </w:tr>
      <w:tr w:rsidR="00BC3CFE" w:rsidRPr="00B824AA" w14:paraId="1E2F53CE" w14:textId="77777777" w:rsidTr="00CC3BD8">
        <w:tc>
          <w:tcPr>
            <w:tcW w:w="2551" w:type="dxa"/>
            <w:tcBorders>
              <w:top w:val="nil"/>
              <w:bottom w:val="nil"/>
            </w:tcBorders>
          </w:tcPr>
          <w:p w14:paraId="48337A68" w14:textId="77777777" w:rsidR="00BC3CFE" w:rsidRPr="00B824AA" w:rsidRDefault="00BC3CFE" w:rsidP="00BC3CFE">
            <w:pPr>
              <w:ind w:left="316"/>
              <w:rPr>
                <w:rFonts w:ascii="Times New Roman" w:hAnsi="Times New Roman" w:cs="Times New Roman"/>
              </w:rPr>
            </w:pPr>
          </w:p>
          <w:p w14:paraId="6126215C" w14:textId="0C80E73B" w:rsidR="00BC3CFE" w:rsidRPr="00B824AA" w:rsidRDefault="00BC3CFE" w:rsidP="00BC3CFE">
            <w:pPr>
              <w:ind w:left="316"/>
              <w:rPr>
                <w:rFonts w:ascii="Times New Roman" w:hAnsi="Times New Roman" w:cs="Times New Roman"/>
              </w:rPr>
            </w:pPr>
            <w:r w:rsidRPr="00B824AA">
              <w:rPr>
                <w:rFonts w:ascii="Times New Roman" w:hAnsi="Times New Roman" w:cs="Times New Roman"/>
              </w:rPr>
              <w:t>Transport kolejowy</w:t>
            </w:r>
          </w:p>
        </w:tc>
        <w:tc>
          <w:tcPr>
            <w:tcW w:w="2154" w:type="dxa"/>
            <w:tcBorders>
              <w:top w:val="nil"/>
              <w:bottom w:val="nil"/>
            </w:tcBorders>
            <w:vAlign w:val="bottom"/>
          </w:tcPr>
          <w:p w14:paraId="0EDAABA7" w14:textId="18812E1D" w:rsidR="00BC3CFE" w:rsidRPr="00B824AA" w:rsidRDefault="00BC3CFE" w:rsidP="00BC3CFE">
            <w:pPr>
              <w:tabs>
                <w:tab w:val="decimal" w:pos="1135"/>
              </w:tabs>
              <w:rPr>
                <w:rFonts w:ascii="Times New Roman" w:hAnsi="Times New Roman" w:cs="Times New Roman"/>
              </w:rPr>
            </w:pPr>
          </w:p>
        </w:tc>
        <w:tc>
          <w:tcPr>
            <w:tcW w:w="2154" w:type="dxa"/>
            <w:tcBorders>
              <w:top w:val="nil"/>
              <w:bottom w:val="nil"/>
            </w:tcBorders>
            <w:vAlign w:val="bottom"/>
          </w:tcPr>
          <w:p w14:paraId="75F7E85A" w14:textId="54C4AF2D" w:rsidR="00BC3CFE" w:rsidRPr="00B824AA" w:rsidRDefault="00BC3CFE" w:rsidP="00BC3CFE">
            <w:pPr>
              <w:tabs>
                <w:tab w:val="decimal" w:pos="1107"/>
              </w:tabs>
              <w:rPr>
                <w:rFonts w:ascii="Times New Roman" w:hAnsi="Times New Roman" w:cs="Times New Roman"/>
              </w:rPr>
            </w:pPr>
          </w:p>
        </w:tc>
        <w:tc>
          <w:tcPr>
            <w:tcW w:w="2154" w:type="dxa"/>
            <w:tcBorders>
              <w:top w:val="nil"/>
              <w:bottom w:val="nil"/>
            </w:tcBorders>
            <w:vAlign w:val="bottom"/>
          </w:tcPr>
          <w:p w14:paraId="4299B7DC" w14:textId="26EFB377" w:rsidR="00BC3CFE" w:rsidRPr="00B824AA" w:rsidRDefault="00BC3CFE" w:rsidP="00BC3CFE">
            <w:pPr>
              <w:tabs>
                <w:tab w:val="decimal" w:pos="1221"/>
              </w:tabs>
              <w:rPr>
                <w:rFonts w:ascii="Times New Roman" w:hAnsi="Times New Roman" w:cs="Times New Roman"/>
              </w:rPr>
            </w:pPr>
          </w:p>
        </w:tc>
      </w:tr>
      <w:tr w:rsidR="00A035C0" w:rsidRPr="00B824AA" w14:paraId="509BCAD0" w14:textId="77777777" w:rsidTr="00866620">
        <w:tc>
          <w:tcPr>
            <w:tcW w:w="2551" w:type="dxa"/>
            <w:tcBorders>
              <w:top w:val="nil"/>
              <w:bottom w:val="nil"/>
            </w:tcBorders>
          </w:tcPr>
          <w:p w14:paraId="18AEDA5C" w14:textId="77777777" w:rsidR="00A035C0" w:rsidRPr="00B824AA" w:rsidRDefault="00A035C0" w:rsidP="003D31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06FBAAB5" w14:textId="3230E98C" w:rsidR="00A035C0" w:rsidRPr="00A035C0" w:rsidRDefault="00A035C0" w:rsidP="003D3162">
            <w:pPr>
              <w:tabs>
                <w:tab w:val="decimal" w:pos="1135"/>
              </w:tabs>
              <w:rPr>
                <w:rFonts w:ascii="Times New Roman" w:hAnsi="Times New Roman" w:cs="Times New Roman"/>
              </w:rPr>
            </w:pPr>
            <w:r w:rsidRPr="00A035C0">
              <w:rPr>
                <w:rFonts w:ascii="Times New Roman" w:hAnsi="Times New Roman" w:cs="Times New Roman"/>
              </w:rPr>
              <w:t>114</w:t>
            </w:r>
          </w:p>
        </w:tc>
        <w:tc>
          <w:tcPr>
            <w:tcW w:w="2154" w:type="dxa"/>
            <w:tcBorders>
              <w:top w:val="nil"/>
              <w:bottom w:val="nil"/>
            </w:tcBorders>
          </w:tcPr>
          <w:p w14:paraId="7FD08677" w14:textId="197C6CAA" w:rsidR="00A035C0" w:rsidRPr="00A035C0" w:rsidRDefault="00A035C0" w:rsidP="003D3162">
            <w:pPr>
              <w:tabs>
                <w:tab w:val="decimal" w:pos="1107"/>
              </w:tabs>
              <w:rPr>
                <w:rFonts w:ascii="Times New Roman" w:hAnsi="Times New Roman" w:cs="Times New Roman"/>
              </w:rPr>
            </w:pPr>
            <w:r w:rsidRPr="00A035C0">
              <w:rPr>
                <w:rFonts w:ascii="Times New Roman" w:hAnsi="Times New Roman" w:cs="Times New Roman"/>
              </w:rPr>
              <w:t>106</w:t>
            </w:r>
          </w:p>
        </w:tc>
        <w:tc>
          <w:tcPr>
            <w:tcW w:w="2154" w:type="dxa"/>
            <w:tcBorders>
              <w:top w:val="nil"/>
              <w:bottom w:val="nil"/>
            </w:tcBorders>
          </w:tcPr>
          <w:p w14:paraId="7DC38394" w14:textId="55617033" w:rsidR="00A035C0" w:rsidRPr="00A035C0" w:rsidRDefault="00A035C0" w:rsidP="003D3162">
            <w:pPr>
              <w:tabs>
                <w:tab w:val="decimal" w:pos="1221"/>
              </w:tabs>
              <w:rPr>
                <w:rFonts w:ascii="Times New Roman" w:hAnsi="Times New Roman" w:cs="Times New Roman"/>
              </w:rPr>
            </w:pPr>
            <w:r w:rsidRPr="00A035C0">
              <w:rPr>
                <w:rFonts w:ascii="Times New Roman" w:hAnsi="Times New Roman" w:cs="Times New Roman"/>
              </w:rPr>
              <w:t>130</w:t>
            </w:r>
          </w:p>
        </w:tc>
      </w:tr>
      <w:tr w:rsidR="00A035C0" w:rsidRPr="00B824AA" w14:paraId="5090A8AC" w14:textId="77777777" w:rsidTr="00866620">
        <w:tc>
          <w:tcPr>
            <w:tcW w:w="2551" w:type="dxa"/>
            <w:tcBorders>
              <w:top w:val="nil"/>
              <w:bottom w:val="nil"/>
            </w:tcBorders>
          </w:tcPr>
          <w:p w14:paraId="03C065C2" w14:textId="77777777" w:rsidR="00A035C0" w:rsidRPr="00B824AA" w:rsidRDefault="00A035C0" w:rsidP="003D31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070C6EF0" w14:textId="161A4872" w:rsidR="00A035C0" w:rsidRPr="00A035C0" w:rsidRDefault="00A035C0" w:rsidP="003D3162">
            <w:pPr>
              <w:tabs>
                <w:tab w:val="decimal" w:pos="1135"/>
              </w:tabs>
              <w:rPr>
                <w:rFonts w:ascii="Times New Roman" w:hAnsi="Times New Roman" w:cs="Times New Roman"/>
              </w:rPr>
            </w:pPr>
            <w:r w:rsidRPr="00A035C0">
              <w:rPr>
                <w:rFonts w:ascii="Times New Roman" w:hAnsi="Times New Roman" w:cs="Times New Roman"/>
              </w:rPr>
              <w:t>127</w:t>
            </w:r>
          </w:p>
        </w:tc>
        <w:tc>
          <w:tcPr>
            <w:tcW w:w="2154" w:type="dxa"/>
            <w:tcBorders>
              <w:top w:val="nil"/>
              <w:bottom w:val="nil"/>
            </w:tcBorders>
          </w:tcPr>
          <w:p w14:paraId="0308AE28" w14:textId="0959F0D2" w:rsidR="00A035C0" w:rsidRPr="00A035C0" w:rsidRDefault="00A035C0" w:rsidP="003D3162">
            <w:pPr>
              <w:tabs>
                <w:tab w:val="decimal" w:pos="1107"/>
              </w:tabs>
              <w:rPr>
                <w:rFonts w:ascii="Times New Roman" w:hAnsi="Times New Roman" w:cs="Times New Roman"/>
              </w:rPr>
            </w:pPr>
            <w:r w:rsidRPr="00A035C0">
              <w:rPr>
                <w:rFonts w:ascii="Times New Roman" w:hAnsi="Times New Roman" w:cs="Times New Roman"/>
              </w:rPr>
              <w:t>126</w:t>
            </w:r>
          </w:p>
        </w:tc>
        <w:tc>
          <w:tcPr>
            <w:tcW w:w="2154" w:type="dxa"/>
            <w:tcBorders>
              <w:top w:val="nil"/>
              <w:bottom w:val="nil"/>
            </w:tcBorders>
          </w:tcPr>
          <w:p w14:paraId="7F0DD426" w14:textId="5A784CA1" w:rsidR="00A035C0" w:rsidRPr="00A035C0" w:rsidRDefault="00A035C0" w:rsidP="003D3162">
            <w:pPr>
              <w:tabs>
                <w:tab w:val="decimal" w:pos="1221"/>
              </w:tabs>
              <w:rPr>
                <w:rFonts w:ascii="Times New Roman" w:hAnsi="Times New Roman" w:cs="Times New Roman"/>
              </w:rPr>
            </w:pPr>
            <w:r w:rsidRPr="00A035C0">
              <w:rPr>
                <w:rFonts w:ascii="Times New Roman" w:hAnsi="Times New Roman" w:cs="Times New Roman"/>
              </w:rPr>
              <w:t>129</w:t>
            </w:r>
          </w:p>
        </w:tc>
      </w:tr>
      <w:tr w:rsidR="00A035C0" w:rsidRPr="00B824AA" w14:paraId="0C21ADCB" w14:textId="77777777" w:rsidTr="00866620">
        <w:tc>
          <w:tcPr>
            <w:tcW w:w="2551" w:type="dxa"/>
            <w:tcBorders>
              <w:top w:val="nil"/>
              <w:bottom w:val="nil"/>
            </w:tcBorders>
          </w:tcPr>
          <w:p w14:paraId="58A3AA6C" w14:textId="77777777" w:rsidR="00A035C0" w:rsidRPr="00B824AA" w:rsidRDefault="00A035C0" w:rsidP="003D31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19CDC635" w14:textId="542099FF" w:rsidR="00A035C0" w:rsidRPr="00A035C0" w:rsidRDefault="00A035C0" w:rsidP="003D3162">
            <w:pPr>
              <w:tabs>
                <w:tab w:val="decimal" w:pos="1135"/>
              </w:tabs>
              <w:rPr>
                <w:rFonts w:ascii="Times New Roman" w:hAnsi="Times New Roman" w:cs="Times New Roman"/>
              </w:rPr>
            </w:pPr>
            <w:r w:rsidRPr="00A035C0">
              <w:rPr>
                <w:rFonts w:ascii="Times New Roman" w:hAnsi="Times New Roman" w:cs="Times New Roman"/>
              </w:rPr>
              <w:t>103</w:t>
            </w:r>
          </w:p>
        </w:tc>
        <w:tc>
          <w:tcPr>
            <w:tcW w:w="2154" w:type="dxa"/>
            <w:tcBorders>
              <w:top w:val="nil"/>
              <w:bottom w:val="nil"/>
            </w:tcBorders>
          </w:tcPr>
          <w:p w14:paraId="063991FC" w14:textId="01C0BFDB" w:rsidR="00A035C0" w:rsidRPr="00A035C0" w:rsidRDefault="00A035C0" w:rsidP="003D3162">
            <w:pPr>
              <w:tabs>
                <w:tab w:val="decimal" w:pos="1107"/>
              </w:tabs>
              <w:rPr>
                <w:rFonts w:ascii="Times New Roman" w:hAnsi="Times New Roman" w:cs="Times New Roman"/>
              </w:rPr>
            </w:pPr>
            <w:r w:rsidRPr="00A035C0">
              <w:rPr>
                <w:rFonts w:ascii="Times New Roman" w:hAnsi="Times New Roman" w:cs="Times New Roman"/>
              </w:rPr>
              <w:t>90</w:t>
            </w:r>
          </w:p>
        </w:tc>
        <w:tc>
          <w:tcPr>
            <w:tcW w:w="2154" w:type="dxa"/>
            <w:tcBorders>
              <w:top w:val="nil"/>
              <w:bottom w:val="nil"/>
            </w:tcBorders>
          </w:tcPr>
          <w:p w14:paraId="69A222E5" w14:textId="5A8CDD78" w:rsidR="00A035C0" w:rsidRPr="00A035C0" w:rsidRDefault="00A035C0" w:rsidP="003D3162">
            <w:pPr>
              <w:tabs>
                <w:tab w:val="decimal" w:pos="1221"/>
              </w:tabs>
              <w:rPr>
                <w:rFonts w:ascii="Times New Roman" w:hAnsi="Times New Roman" w:cs="Times New Roman"/>
              </w:rPr>
            </w:pPr>
            <w:r w:rsidRPr="00A035C0">
              <w:rPr>
                <w:rFonts w:ascii="Times New Roman" w:hAnsi="Times New Roman" w:cs="Times New Roman"/>
              </w:rPr>
              <w:t>132</w:t>
            </w:r>
          </w:p>
        </w:tc>
      </w:tr>
      <w:tr w:rsidR="00A035C0" w:rsidRPr="00B824AA" w14:paraId="333351FD" w14:textId="77777777" w:rsidTr="00866620">
        <w:tc>
          <w:tcPr>
            <w:tcW w:w="2551" w:type="dxa"/>
            <w:tcBorders>
              <w:top w:val="nil"/>
              <w:bottom w:val="nil"/>
            </w:tcBorders>
            <w:vAlign w:val="center"/>
          </w:tcPr>
          <w:p w14:paraId="79EBB58E" w14:textId="77777777" w:rsidR="00A035C0" w:rsidRPr="00B824AA" w:rsidRDefault="00A035C0" w:rsidP="003D31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62A0F741" w14:textId="6919252D" w:rsidR="00A035C0" w:rsidRPr="00A035C0" w:rsidRDefault="00A035C0" w:rsidP="003D3162">
            <w:pPr>
              <w:tabs>
                <w:tab w:val="decimal" w:pos="1135"/>
              </w:tabs>
              <w:rPr>
                <w:rFonts w:ascii="Times New Roman" w:hAnsi="Times New Roman" w:cs="Times New Roman"/>
              </w:rPr>
            </w:pPr>
            <w:r w:rsidRPr="00A035C0">
              <w:rPr>
                <w:rFonts w:ascii="Times New Roman" w:hAnsi="Times New Roman" w:cs="Times New Roman"/>
              </w:rPr>
              <w:t>116</w:t>
            </w:r>
          </w:p>
        </w:tc>
        <w:tc>
          <w:tcPr>
            <w:tcW w:w="2154" w:type="dxa"/>
            <w:tcBorders>
              <w:top w:val="nil"/>
              <w:bottom w:val="nil"/>
            </w:tcBorders>
          </w:tcPr>
          <w:p w14:paraId="543A5D64" w14:textId="04B4255D" w:rsidR="00A035C0" w:rsidRPr="00A035C0" w:rsidRDefault="00A035C0" w:rsidP="003D3162">
            <w:pPr>
              <w:tabs>
                <w:tab w:val="decimal" w:pos="1107"/>
              </w:tabs>
              <w:rPr>
                <w:rFonts w:ascii="Times New Roman" w:hAnsi="Times New Roman" w:cs="Times New Roman"/>
              </w:rPr>
            </w:pPr>
            <w:r w:rsidRPr="00A035C0">
              <w:rPr>
                <w:rFonts w:ascii="Times New Roman" w:hAnsi="Times New Roman" w:cs="Times New Roman"/>
              </w:rPr>
              <w:t>109</w:t>
            </w:r>
          </w:p>
        </w:tc>
        <w:tc>
          <w:tcPr>
            <w:tcW w:w="2154" w:type="dxa"/>
            <w:tcBorders>
              <w:top w:val="nil"/>
              <w:bottom w:val="nil"/>
            </w:tcBorders>
          </w:tcPr>
          <w:p w14:paraId="5E1DAAEE" w14:textId="0E0A177C" w:rsidR="00A035C0" w:rsidRPr="00A035C0" w:rsidRDefault="00A035C0" w:rsidP="003D3162">
            <w:pPr>
              <w:tabs>
                <w:tab w:val="decimal" w:pos="1221"/>
              </w:tabs>
              <w:rPr>
                <w:rFonts w:ascii="Times New Roman" w:hAnsi="Times New Roman" w:cs="Times New Roman"/>
              </w:rPr>
            </w:pPr>
            <w:r w:rsidRPr="00A035C0">
              <w:rPr>
                <w:rFonts w:ascii="Times New Roman" w:hAnsi="Times New Roman" w:cs="Times New Roman"/>
              </w:rPr>
              <w:t>127</w:t>
            </w:r>
          </w:p>
        </w:tc>
      </w:tr>
      <w:tr w:rsidR="00A035C0" w:rsidRPr="00B824AA" w14:paraId="255955FD" w14:textId="77777777" w:rsidTr="00866620">
        <w:tc>
          <w:tcPr>
            <w:tcW w:w="2551" w:type="dxa"/>
            <w:tcBorders>
              <w:top w:val="nil"/>
              <w:bottom w:val="nil"/>
            </w:tcBorders>
            <w:vAlign w:val="center"/>
          </w:tcPr>
          <w:p w14:paraId="604E5DCD" w14:textId="6F449D54" w:rsidR="00A035C0" w:rsidRPr="00B824AA" w:rsidRDefault="00A035C0" w:rsidP="003D31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39715BFD" w14:textId="3433BA74" w:rsidR="00A035C0" w:rsidRPr="00A035C0" w:rsidRDefault="00A035C0" w:rsidP="003D3162">
            <w:pPr>
              <w:tabs>
                <w:tab w:val="decimal" w:pos="1135"/>
              </w:tabs>
              <w:rPr>
                <w:rFonts w:ascii="Times New Roman" w:hAnsi="Times New Roman" w:cs="Times New Roman"/>
                <w:color w:val="000000"/>
              </w:rPr>
            </w:pPr>
            <w:r w:rsidRPr="00A035C0">
              <w:rPr>
                <w:rFonts w:ascii="Times New Roman" w:hAnsi="Times New Roman" w:cs="Times New Roman"/>
              </w:rPr>
              <w:t>110</w:t>
            </w:r>
          </w:p>
        </w:tc>
        <w:tc>
          <w:tcPr>
            <w:tcW w:w="2154" w:type="dxa"/>
            <w:tcBorders>
              <w:top w:val="nil"/>
              <w:bottom w:val="nil"/>
            </w:tcBorders>
          </w:tcPr>
          <w:p w14:paraId="4CE2BC92" w14:textId="3F84B5C7" w:rsidR="00A035C0" w:rsidRPr="00A035C0" w:rsidRDefault="00A035C0" w:rsidP="003D3162">
            <w:pPr>
              <w:tabs>
                <w:tab w:val="decimal" w:pos="1107"/>
              </w:tabs>
              <w:rPr>
                <w:rFonts w:ascii="Times New Roman" w:hAnsi="Times New Roman" w:cs="Times New Roman"/>
                <w:color w:val="000000"/>
              </w:rPr>
            </w:pPr>
            <w:r w:rsidRPr="00A035C0">
              <w:rPr>
                <w:rFonts w:ascii="Times New Roman" w:hAnsi="Times New Roman" w:cs="Times New Roman"/>
              </w:rPr>
              <w:t>100</w:t>
            </w:r>
          </w:p>
        </w:tc>
        <w:tc>
          <w:tcPr>
            <w:tcW w:w="2154" w:type="dxa"/>
            <w:tcBorders>
              <w:top w:val="nil"/>
              <w:bottom w:val="nil"/>
            </w:tcBorders>
          </w:tcPr>
          <w:p w14:paraId="316907B4" w14:textId="613E71A0" w:rsidR="00A035C0" w:rsidRPr="00A035C0" w:rsidRDefault="00A035C0" w:rsidP="003D3162">
            <w:pPr>
              <w:tabs>
                <w:tab w:val="decimal" w:pos="1221"/>
              </w:tabs>
              <w:rPr>
                <w:rFonts w:ascii="Times New Roman" w:hAnsi="Times New Roman" w:cs="Times New Roman"/>
                <w:color w:val="000000"/>
              </w:rPr>
            </w:pPr>
            <w:r w:rsidRPr="00A035C0">
              <w:rPr>
                <w:rFonts w:ascii="Times New Roman" w:hAnsi="Times New Roman" w:cs="Times New Roman"/>
              </w:rPr>
              <w:t>138</w:t>
            </w:r>
          </w:p>
        </w:tc>
      </w:tr>
      <w:tr w:rsidR="00BF0B60" w:rsidRPr="00B824AA" w14:paraId="0646A2D1" w14:textId="77777777" w:rsidTr="00C9487A">
        <w:tc>
          <w:tcPr>
            <w:tcW w:w="2551" w:type="dxa"/>
            <w:tcBorders>
              <w:top w:val="nil"/>
              <w:bottom w:val="nil"/>
            </w:tcBorders>
          </w:tcPr>
          <w:p w14:paraId="0B591F47" w14:textId="77777777" w:rsidR="00B41C82" w:rsidRPr="00B824AA" w:rsidRDefault="00B41C82" w:rsidP="00CC3BD8">
            <w:pPr>
              <w:ind w:left="316"/>
              <w:rPr>
                <w:rFonts w:ascii="Times New Roman" w:hAnsi="Times New Roman" w:cs="Times New Roman"/>
              </w:rPr>
            </w:pPr>
          </w:p>
          <w:p w14:paraId="03150F3B" w14:textId="52DD3578" w:rsidR="00BF0B60" w:rsidRPr="00B824AA" w:rsidRDefault="00BF0B60" w:rsidP="00CC3BD8">
            <w:pPr>
              <w:ind w:left="316"/>
              <w:rPr>
                <w:rFonts w:ascii="Times New Roman" w:hAnsi="Times New Roman" w:cs="Times New Roman"/>
              </w:rPr>
            </w:pPr>
            <w:r w:rsidRPr="00B824AA">
              <w:rPr>
                <w:rFonts w:ascii="Times New Roman" w:hAnsi="Times New Roman" w:cs="Times New Roman"/>
              </w:rPr>
              <w:t>Bezpieczeństwo transportu drogowego</w:t>
            </w:r>
          </w:p>
        </w:tc>
        <w:tc>
          <w:tcPr>
            <w:tcW w:w="2154" w:type="dxa"/>
            <w:tcBorders>
              <w:top w:val="nil"/>
              <w:bottom w:val="nil"/>
            </w:tcBorders>
          </w:tcPr>
          <w:p w14:paraId="59F5ECAD" w14:textId="77777777" w:rsidR="00BF0B60" w:rsidRPr="00B824AA" w:rsidRDefault="00BF0B60" w:rsidP="00CC3BD8">
            <w:pPr>
              <w:tabs>
                <w:tab w:val="decimal" w:pos="1135"/>
              </w:tabs>
              <w:rPr>
                <w:rFonts w:ascii="Times New Roman" w:hAnsi="Times New Roman" w:cs="Times New Roman"/>
              </w:rPr>
            </w:pPr>
          </w:p>
        </w:tc>
        <w:tc>
          <w:tcPr>
            <w:tcW w:w="2154" w:type="dxa"/>
            <w:tcBorders>
              <w:top w:val="nil"/>
              <w:bottom w:val="nil"/>
            </w:tcBorders>
          </w:tcPr>
          <w:p w14:paraId="4A858310" w14:textId="77777777" w:rsidR="00BF0B60" w:rsidRPr="00B824AA" w:rsidRDefault="00BF0B60" w:rsidP="00CC3BD8">
            <w:pPr>
              <w:tabs>
                <w:tab w:val="decimal" w:pos="1107"/>
              </w:tabs>
              <w:rPr>
                <w:rFonts w:ascii="Times New Roman" w:hAnsi="Times New Roman" w:cs="Times New Roman"/>
              </w:rPr>
            </w:pPr>
          </w:p>
        </w:tc>
        <w:tc>
          <w:tcPr>
            <w:tcW w:w="2154" w:type="dxa"/>
            <w:tcBorders>
              <w:top w:val="nil"/>
              <w:bottom w:val="nil"/>
            </w:tcBorders>
          </w:tcPr>
          <w:p w14:paraId="7F01E1F6" w14:textId="77777777" w:rsidR="00BF0B60" w:rsidRPr="00B824AA" w:rsidRDefault="00BF0B60" w:rsidP="00CC3BD8">
            <w:pPr>
              <w:tabs>
                <w:tab w:val="decimal" w:pos="1221"/>
              </w:tabs>
              <w:rPr>
                <w:rFonts w:ascii="Times New Roman" w:hAnsi="Times New Roman" w:cs="Times New Roman"/>
              </w:rPr>
            </w:pPr>
          </w:p>
        </w:tc>
      </w:tr>
      <w:tr w:rsidR="0028493C" w:rsidRPr="00B824AA" w14:paraId="4A0CBD1E" w14:textId="77777777" w:rsidTr="00866620">
        <w:trPr>
          <w:trHeight w:val="60"/>
        </w:trPr>
        <w:tc>
          <w:tcPr>
            <w:tcW w:w="2551" w:type="dxa"/>
            <w:tcBorders>
              <w:top w:val="nil"/>
              <w:bottom w:val="nil"/>
            </w:tcBorders>
          </w:tcPr>
          <w:p w14:paraId="5EE0D68F" w14:textId="77777777" w:rsidR="0028493C" w:rsidRPr="00B824AA" w:rsidRDefault="0028493C" w:rsidP="003D3162">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72941359" w14:textId="54414C79" w:rsidR="0028493C" w:rsidRPr="0028493C" w:rsidRDefault="0028493C" w:rsidP="003D3162">
            <w:pPr>
              <w:tabs>
                <w:tab w:val="decimal" w:pos="1135"/>
              </w:tabs>
              <w:rPr>
                <w:rFonts w:ascii="Times New Roman" w:hAnsi="Times New Roman" w:cs="Times New Roman"/>
              </w:rPr>
            </w:pPr>
            <w:r w:rsidRPr="0028493C">
              <w:rPr>
                <w:rFonts w:ascii="Times New Roman" w:hAnsi="Times New Roman" w:cs="Times New Roman"/>
              </w:rPr>
              <w:t>58</w:t>
            </w:r>
          </w:p>
        </w:tc>
        <w:tc>
          <w:tcPr>
            <w:tcW w:w="2154" w:type="dxa"/>
            <w:tcBorders>
              <w:top w:val="nil"/>
              <w:bottom w:val="nil"/>
            </w:tcBorders>
          </w:tcPr>
          <w:p w14:paraId="35B730A6" w14:textId="681FA74E" w:rsidR="0028493C" w:rsidRPr="0028493C" w:rsidRDefault="0028493C" w:rsidP="003D3162">
            <w:pPr>
              <w:tabs>
                <w:tab w:val="decimal" w:pos="1107"/>
              </w:tabs>
              <w:rPr>
                <w:rFonts w:ascii="Times New Roman" w:hAnsi="Times New Roman" w:cs="Times New Roman"/>
              </w:rPr>
            </w:pPr>
            <w:r w:rsidRPr="0028493C">
              <w:rPr>
                <w:rFonts w:ascii="Times New Roman" w:hAnsi="Times New Roman" w:cs="Times New Roman"/>
              </w:rPr>
              <w:t>52</w:t>
            </w:r>
          </w:p>
        </w:tc>
        <w:tc>
          <w:tcPr>
            <w:tcW w:w="2154" w:type="dxa"/>
            <w:tcBorders>
              <w:top w:val="nil"/>
              <w:bottom w:val="nil"/>
            </w:tcBorders>
          </w:tcPr>
          <w:p w14:paraId="4FD218C2" w14:textId="21624403" w:rsidR="0028493C" w:rsidRPr="0028493C" w:rsidRDefault="0028493C" w:rsidP="003D3162">
            <w:pPr>
              <w:tabs>
                <w:tab w:val="decimal" w:pos="1221"/>
              </w:tabs>
              <w:rPr>
                <w:rFonts w:ascii="Times New Roman" w:hAnsi="Times New Roman" w:cs="Times New Roman"/>
              </w:rPr>
            </w:pPr>
            <w:r w:rsidRPr="0028493C">
              <w:rPr>
                <w:rFonts w:ascii="Times New Roman" w:hAnsi="Times New Roman" w:cs="Times New Roman"/>
              </w:rPr>
              <w:t>90</w:t>
            </w:r>
          </w:p>
        </w:tc>
      </w:tr>
      <w:tr w:rsidR="0028493C" w:rsidRPr="00B824AA" w14:paraId="10021207" w14:textId="77777777" w:rsidTr="00866620">
        <w:tc>
          <w:tcPr>
            <w:tcW w:w="2551" w:type="dxa"/>
            <w:tcBorders>
              <w:top w:val="nil"/>
              <w:bottom w:val="nil"/>
            </w:tcBorders>
          </w:tcPr>
          <w:p w14:paraId="65BFFE4A" w14:textId="77777777" w:rsidR="0028493C" w:rsidRPr="00B824AA" w:rsidRDefault="0028493C" w:rsidP="003D3162">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118B4749" w14:textId="51D7F76A" w:rsidR="0028493C" w:rsidRPr="0028493C" w:rsidRDefault="0028493C" w:rsidP="003D3162">
            <w:pPr>
              <w:tabs>
                <w:tab w:val="decimal" w:pos="1135"/>
              </w:tabs>
              <w:rPr>
                <w:rFonts w:ascii="Times New Roman" w:hAnsi="Times New Roman" w:cs="Times New Roman"/>
              </w:rPr>
            </w:pPr>
            <w:r w:rsidRPr="0028493C">
              <w:rPr>
                <w:rFonts w:ascii="Times New Roman" w:hAnsi="Times New Roman" w:cs="Times New Roman"/>
              </w:rPr>
              <w:t>53</w:t>
            </w:r>
          </w:p>
        </w:tc>
        <w:tc>
          <w:tcPr>
            <w:tcW w:w="2154" w:type="dxa"/>
            <w:tcBorders>
              <w:top w:val="nil"/>
              <w:bottom w:val="nil"/>
            </w:tcBorders>
          </w:tcPr>
          <w:p w14:paraId="273A6C4D" w14:textId="653B6C8E" w:rsidR="0028493C" w:rsidRPr="0028493C" w:rsidRDefault="0028493C" w:rsidP="003D3162">
            <w:pPr>
              <w:tabs>
                <w:tab w:val="decimal" w:pos="1107"/>
              </w:tabs>
              <w:rPr>
                <w:rFonts w:ascii="Times New Roman" w:hAnsi="Times New Roman" w:cs="Times New Roman"/>
              </w:rPr>
            </w:pPr>
            <w:r w:rsidRPr="0028493C">
              <w:rPr>
                <w:rFonts w:ascii="Times New Roman" w:hAnsi="Times New Roman" w:cs="Times New Roman"/>
              </w:rPr>
              <w:t>48</w:t>
            </w:r>
          </w:p>
        </w:tc>
        <w:tc>
          <w:tcPr>
            <w:tcW w:w="2154" w:type="dxa"/>
            <w:tcBorders>
              <w:top w:val="nil"/>
              <w:bottom w:val="nil"/>
            </w:tcBorders>
          </w:tcPr>
          <w:p w14:paraId="075982F8" w14:textId="33C075A1" w:rsidR="0028493C" w:rsidRPr="0028493C" w:rsidRDefault="0028493C" w:rsidP="003D3162">
            <w:pPr>
              <w:tabs>
                <w:tab w:val="decimal" w:pos="1221"/>
              </w:tabs>
              <w:rPr>
                <w:rFonts w:ascii="Times New Roman" w:hAnsi="Times New Roman" w:cs="Times New Roman"/>
              </w:rPr>
            </w:pPr>
            <w:r w:rsidRPr="0028493C">
              <w:rPr>
                <w:rFonts w:ascii="Times New Roman" w:hAnsi="Times New Roman" w:cs="Times New Roman"/>
              </w:rPr>
              <w:t>81</w:t>
            </w:r>
          </w:p>
        </w:tc>
      </w:tr>
      <w:tr w:rsidR="0028493C" w:rsidRPr="00B824AA" w14:paraId="6247BF18" w14:textId="77777777" w:rsidTr="00866620">
        <w:tc>
          <w:tcPr>
            <w:tcW w:w="2551" w:type="dxa"/>
            <w:tcBorders>
              <w:top w:val="nil"/>
              <w:bottom w:val="nil"/>
            </w:tcBorders>
          </w:tcPr>
          <w:p w14:paraId="3A7A5748" w14:textId="77777777" w:rsidR="0028493C" w:rsidRPr="00B824AA" w:rsidRDefault="0028493C" w:rsidP="003D3162">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02733C9A" w14:textId="796D667E" w:rsidR="0028493C" w:rsidRPr="0028493C" w:rsidRDefault="0028493C" w:rsidP="003D3162">
            <w:pPr>
              <w:tabs>
                <w:tab w:val="decimal" w:pos="1135"/>
              </w:tabs>
              <w:rPr>
                <w:rFonts w:ascii="Times New Roman" w:hAnsi="Times New Roman" w:cs="Times New Roman"/>
              </w:rPr>
            </w:pPr>
            <w:r w:rsidRPr="0028493C">
              <w:rPr>
                <w:rFonts w:ascii="Times New Roman" w:hAnsi="Times New Roman" w:cs="Times New Roman"/>
              </w:rPr>
              <w:t>58</w:t>
            </w:r>
          </w:p>
        </w:tc>
        <w:tc>
          <w:tcPr>
            <w:tcW w:w="2154" w:type="dxa"/>
            <w:tcBorders>
              <w:top w:val="nil"/>
              <w:bottom w:val="nil"/>
            </w:tcBorders>
          </w:tcPr>
          <w:p w14:paraId="19E89273" w14:textId="7501FB23" w:rsidR="0028493C" w:rsidRPr="0028493C" w:rsidRDefault="0028493C" w:rsidP="003D3162">
            <w:pPr>
              <w:tabs>
                <w:tab w:val="decimal" w:pos="1107"/>
              </w:tabs>
              <w:rPr>
                <w:rFonts w:ascii="Times New Roman" w:hAnsi="Times New Roman" w:cs="Times New Roman"/>
              </w:rPr>
            </w:pPr>
            <w:r w:rsidRPr="0028493C">
              <w:rPr>
                <w:rFonts w:ascii="Times New Roman" w:hAnsi="Times New Roman" w:cs="Times New Roman"/>
              </w:rPr>
              <w:t>52</w:t>
            </w:r>
          </w:p>
        </w:tc>
        <w:tc>
          <w:tcPr>
            <w:tcW w:w="2154" w:type="dxa"/>
            <w:tcBorders>
              <w:top w:val="nil"/>
              <w:bottom w:val="nil"/>
            </w:tcBorders>
          </w:tcPr>
          <w:p w14:paraId="0A470998" w14:textId="680C6838" w:rsidR="0028493C" w:rsidRPr="0028493C" w:rsidRDefault="0028493C" w:rsidP="003D3162">
            <w:pPr>
              <w:tabs>
                <w:tab w:val="decimal" w:pos="1221"/>
              </w:tabs>
              <w:rPr>
                <w:rFonts w:ascii="Times New Roman" w:hAnsi="Times New Roman" w:cs="Times New Roman"/>
              </w:rPr>
            </w:pPr>
            <w:r w:rsidRPr="0028493C">
              <w:rPr>
                <w:rFonts w:ascii="Times New Roman" w:hAnsi="Times New Roman" w:cs="Times New Roman"/>
              </w:rPr>
              <w:t>91</w:t>
            </w:r>
          </w:p>
        </w:tc>
      </w:tr>
      <w:tr w:rsidR="0028493C" w:rsidRPr="00B824AA" w14:paraId="072A7E9F" w14:textId="77777777" w:rsidTr="00866620">
        <w:tc>
          <w:tcPr>
            <w:tcW w:w="2551" w:type="dxa"/>
            <w:tcBorders>
              <w:top w:val="nil"/>
              <w:bottom w:val="nil"/>
            </w:tcBorders>
            <w:vAlign w:val="center"/>
          </w:tcPr>
          <w:p w14:paraId="7511A2BC" w14:textId="77777777" w:rsidR="0028493C" w:rsidRPr="00B824AA" w:rsidRDefault="0028493C" w:rsidP="003D3162">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409CEC20" w14:textId="3F072BF2" w:rsidR="0028493C" w:rsidRPr="0028493C" w:rsidRDefault="0028493C" w:rsidP="003D3162">
            <w:pPr>
              <w:tabs>
                <w:tab w:val="decimal" w:pos="1135"/>
              </w:tabs>
              <w:rPr>
                <w:rFonts w:ascii="Times New Roman" w:hAnsi="Times New Roman" w:cs="Times New Roman"/>
              </w:rPr>
            </w:pPr>
            <w:r w:rsidRPr="0028493C">
              <w:rPr>
                <w:rFonts w:ascii="Times New Roman" w:hAnsi="Times New Roman" w:cs="Times New Roman"/>
              </w:rPr>
              <w:t>68</w:t>
            </w:r>
          </w:p>
        </w:tc>
        <w:tc>
          <w:tcPr>
            <w:tcW w:w="2154" w:type="dxa"/>
            <w:tcBorders>
              <w:top w:val="nil"/>
              <w:bottom w:val="nil"/>
            </w:tcBorders>
          </w:tcPr>
          <w:p w14:paraId="5F1B5BC5" w14:textId="112DC992" w:rsidR="0028493C" w:rsidRPr="0028493C" w:rsidRDefault="0028493C" w:rsidP="003D3162">
            <w:pPr>
              <w:tabs>
                <w:tab w:val="decimal" w:pos="1107"/>
              </w:tabs>
              <w:rPr>
                <w:rFonts w:ascii="Times New Roman" w:hAnsi="Times New Roman" w:cs="Times New Roman"/>
              </w:rPr>
            </w:pPr>
            <w:r w:rsidRPr="0028493C">
              <w:rPr>
                <w:rFonts w:ascii="Times New Roman" w:hAnsi="Times New Roman" w:cs="Times New Roman"/>
              </w:rPr>
              <w:t>61</w:t>
            </w:r>
          </w:p>
        </w:tc>
        <w:tc>
          <w:tcPr>
            <w:tcW w:w="2154" w:type="dxa"/>
            <w:tcBorders>
              <w:top w:val="nil"/>
              <w:bottom w:val="nil"/>
            </w:tcBorders>
          </w:tcPr>
          <w:p w14:paraId="379C6DBB" w14:textId="249A93AC" w:rsidR="0028493C" w:rsidRPr="0028493C" w:rsidRDefault="0028493C" w:rsidP="003D3162">
            <w:pPr>
              <w:tabs>
                <w:tab w:val="decimal" w:pos="1221"/>
              </w:tabs>
              <w:rPr>
                <w:rFonts w:ascii="Times New Roman" w:hAnsi="Times New Roman" w:cs="Times New Roman"/>
              </w:rPr>
            </w:pPr>
            <w:r w:rsidRPr="0028493C">
              <w:rPr>
                <w:rFonts w:ascii="Times New Roman" w:hAnsi="Times New Roman" w:cs="Times New Roman"/>
              </w:rPr>
              <w:t>104</w:t>
            </w:r>
          </w:p>
        </w:tc>
      </w:tr>
      <w:tr w:rsidR="0028493C" w:rsidRPr="00B824AA" w14:paraId="15C46049" w14:textId="77777777" w:rsidTr="00866620">
        <w:tc>
          <w:tcPr>
            <w:tcW w:w="2551" w:type="dxa"/>
            <w:tcBorders>
              <w:top w:val="nil"/>
              <w:bottom w:val="nil"/>
            </w:tcBorders>
            <w:vAlign w:val="center"/>
          </w:tcPr>
          <w:p w14:paraId="0725EB39" w14:textId="29AE97C7" w:rsidR="0028493C" w:rsidRPr="00B824AA" w:rsidRDefault="0028493C" w:rsidP="003D3162">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54BDA713" w14:textId="591FF8B6" w:rsidR="0028493C" w:rsidRPr="0028493C" w:rsidRDefault="0028493C" w:rsidP="003D3162">
            <w:pPr>
              <w:tabs>
                <w:tab w:val="decimal" w:pos="1135"/>
              </w:tabs>
              <w:rPr>
                <w:rFonts w:ascii="Times New Roman" w:hAnsi="Times New Roman" w:cs="Times New Roman"/>
                <w:color w:val="000000"/>
              </w:rPr>
            </w:pPr>
            <w:r w:rsidRPr="0028493C">
              <w:rPr>
                <w:rFonts w:ascii="Times New Roman" w:hAnsi="Times New Roman" w:cs="Times New Roman"/>
              </w:rPr>
              <w:t>84</w:t>
            </w:r>
          </w:p>
        </w:tc>
        <w:tc>
          <w:tcPr>
            <w:tcW w:w="2154" w:type="dxa"/>
            <w:tcBorders>
              <w:top w:val="nil"/>
              <w:bottom w:val="nil"/>
            </w:tcBorders>
          </w:tcPr>
          <w:p w14:paraId="0ABF54AE" w14:textId="3A95460B" w:rsidR="0028493C" w:rsidRPr="0028493C" w:rsidRDefault="0028493C" w:rsidP="003D3162">
            <w:pPr>
              <w:tabs>
                <w:tab w:val="decimal" w:pos="1107"/>
              </w:tabs>
              <w:rPr>
                <w:rFonts w:ascii="Times New Roman" w:hAnsi="Times New Roman" w:cs="Times New Roman"/>
                <w:color w:val="000000"/>
              </w:rPr>
            </w:pPr>
            <w:r w:rsidRPr="0028493C">
              <w:rPr>
                <w:rFonts w:ascii="Times New Roman" w:hAnsi="Times New Roman" w:cs="Times New Roman"/>
              </w:rPr>
              <w:t>78</w:t>
            </w:r>
          </w:p>
        </w:tc>
        <w:tc>
          <w:tcPr>
            <w:tcW w:w="2154" w:type="dxa"/>
            <w:tcBorders>
              <w:top w:val="nil"/>
              <w:bottom w:val="nil"/>
            </w:tcBorders>
          </w:tcPr>
          <w:p w14:paraId="69204357" w14:textId="0BACEB5E" w:rsidR="0028493C" w:rsidRPr="0028493C" w:rsidRDefault="0028493C" w:rsidP="003D3162">
            <w:pPr>
              <w:tabs>
                <w:tab w:val="decimal" w:pos="1221"/>
              </w:tabs>
              <w:rPr>
                <w:rFonts w:ascii="Times New Roman" w:hAnsi="Times New Roman" w:cs="Times New Roman"/>
                <w:color w:val="000000"/>
              </w:rPr>
            </w:pPr>
            <w:r w:rsidRPr="0028493C">
              <w:rPr>
                <w:rFonts w:ascii="Times New Roman" w:hAnsi="Times New Roman" w:cs="Times New Roman"/>
              </w:rPr>
              <w:t>111</w:t>
            </w:r>
          </w:p>
        </w:tc>
      </w:tr>
      <w:tr w:rsidR="00BF0B60" w:rsidRPr="00B824AA" w14:paraId="329F776F" w14:textId="77777777" w:rsidTr="00C9487A">
        <w:tc>
          <w:tcPr>
            <w:tcW w:w="2551" w:type="dxa"/>
            <w:tcBorders>
              <w:top w:val="nil"/>
              <w:bottom w:val="nil"/>
            </w:tcBorders>
          </w:tcPr>
          <w:p w14:paraId="6485D1CE" w14:textId="77777777" w:rsidR="00B41C82" w:rsidRPr="00B824AA" w:rsidRDefault="00B41C82" w:rsidP="00CC3BD8">
            <w:pPr>
              <w:ind w:left="316"/>
              <w:rPr>
                <w:rFonts w:ascii="Times New Roman" w:hAnsi="Times New Roman" w:cs="Times New Roman"/>
              </w:rPr>
            </w:pPr>
          </w:p>
          <w:p w14:paraId="757AE25E" w14:textId="04484B85" w:rsidR="00BF0B60" w:rsidRPr="00B824AA" w:rsidRDefault="00BF0B60" w:rsidP="00CC3BD8">
            <w:pPr>
              <w:ind w:left="316"/>
              <w:rPr>
                <w:rFonts w:ascii="Times New Roman" w:hAnsi="Times New Roman" w:cs="Times New Roman"/>
              </w:rPr>
            </w:pPr>
            <w:r w:rsidRPr="00B824AA">
              <w:rPr>
                <w:rFonts w:ascii="Times New Roman" w:hAnsi="Times New Roman" w:cs="Times New Roman"/>
              </w:rPr>
              <w:t>Internet</w:t>
            </w:r>
          </w:p>
        </w:tc>
        <w:tc>
          <w:tcPr>
            <w:tcW w:w="2154" w:type="dxa"/>
            <w:tcBorders>
              <w:top w:val="nil"/>
              <w:bottom w:val="nil"/>
            </w:tcBorders>
          </w:tcPr>
          <w:p w14:paraId="064B2A83" w14:textId="77777777" w:rsidR="00BF0B60" w:rsidRPr="00B824AA" w:rsidRDefault="00BF0B60" w:rsidP="00CC3BD8">
            <w:pPr>
              <w:tabs>
                <w:tab w:val="decimal" w:pos="1135"/>
              </w:tabs>
              <w:rPr>
                <w:rFonts w:ascii="Times New Roman" w:hAnsi="Times New Roman" w:cs="Times New Roman"/>
              </w:rPr>
            </w:pPr>
          </w:p>
        </w:tc>
        <w:tc>
          <w:tcPr>
            <w:tcW w:w="2154" w:type="dxa"/>
            <w:tcBorders>
              <w:top w:val="nil"/>
              <w:bottom w:val="nil"/>
            </w:tcBorders>
          </w:tcPr>
          <w:p w14:paraId="0CAA8888" w14:textId="77777777" w:rsidR="00BF0B60" w:rsidRPr="00B824AA" w:rsidRDefault="00BF0B60" w:rsidP="00CC3BD8">
            <w:pPr>
              <w:tabs>
                <w:tab w:val="decimal" w:pos="1107"/>
              </w:tabs>
              <w:rPr>
                <w:rFonts w:ascii="Times New Roman" w:hAnsi="Times New Roman" w:cs="Times New Roman"/>
              </w:rPr>
            </w:pPr>
          </w:p>
        </w:tc>
        <w:tc>
          <w:tcPr>
            <w:tcW w:w="2154" w:type="dxa"/>
            <w:tcBorders>
              <w:top w:val="nil"/>
              <w:bottom w:val="nil"/>
            </w:tcBorders>
          </w:tcPr>
          <w:p w14:paraId="054491F1" w14:textId="77777777" w:rsidR="00BF0B60" w:rsidRPr="00B824AA" w:rsidRDefault="00BF0B60" w:rsidP="00CC3BD8">
            <w:pPr>
              <w:tabs>
                <w:tab w:val="decimal" w:pos="1221"/>
              </w:tabs>
              <w:rPr>
                <w:rFonts w:ascii="Times New Roman" w:hAnsi="Times New Roman" w:cs="Times New Roman"/>
              </w:rPr>
            </w:pPr>
          </w:p>
        </w:tc>
      </w:tr>
      <w:tr w:rsidR="009465EA" w:rsidRPr="00B824AA" w14:paraId="682BC5CB" w14:textId="77777777" w:rsidTr="00866620">
        <w:tc>
          <w:tcPr>
            <w:tcW w:w="2551" w:type="dxa"/>
            <w:tcBorders>
              <w:top w:val="nil"/>
              <w:bottom w:val="nil"/>
            </w:tcBorders>
          </w:tcPr>
          <w:p w14:paraId="2AB5AF99" w14:textId="77777777" w:rsidR="009465EA" w:rsidRPr="00B824AA" w:rsidRDefault="009465EA" w:rsidP="00BD44EF">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171E44FF" w14:textId="2EE44E91" w:rsidR="009465EA" w:rsidRPr="009465EA" w:rsidRDefault="009465EA" w:rsidP="00BD44EF">
            <w:pPr>
              <w:tabs>
                <w:tab w:val="decimal" w:pos="1135"/>
              </w:tabs>
              <w:rPr>
                <w:rFonts w:ascii="Times New Roman" w:hAnsi="Times New Roman" w:cs="Times New Roman"/>
              </w:rPr>
            </w:pPr>
            <w:r w:rsidRPr="009465EA">
              <w:rPr>
                <w:rFonts w:ascii="Times New Roman" w:hAnsi="Times New Roman" w:cs="Times New Roman"/>
              </w:rPr>
              <w:t>22</w:t>
            </w:r>
          </w:p>
        </w:tc>
        <w:tc>
          <w:tcPr>
            <w:tcW w:w="2154" w:type="dxa"/>
            <w:tcBorders>
              <w:top w:val="nil"/>
              <w:bottom w:val="nil"/>
            </w:tcBorders>
          </w:tcPr>
          <w:p w14:paraId="7F4997E4" w14:textId="07A6ED37" w:rsidR="009465EA" w:rsidRPr="009465EA" w:rsidRDefault="009465EA" w:rsidP="00BD44EF">
            <w:pPr>
              <w:tabs>
                <w:tab w:val="decimal" w:pos="1107"/>
              </w:tabs>
              <w:rPr>
                <w:rFonts w:ascii="Times New Roman" w:hAnsi="Times New Roman" w:cs="Times New Roman"/>
              </w:rPr>
            </w:pPr>
            <w:r w:rsidRPr="009465EA">
              <w:rPr>
                <w:rFonts w:ascii="Times New Roman" w:hAnsi="Times New Roman" w:cs="Times New Roman"/>
              </w:rPr>
              <w:t>26</w:t>
            </w:r>
          </w:p>
        </w:tc>
        <w:tc>
          <w:tcPr>
            <w:tcW w:w="2154" w:type="dxa"/>
            <w:tcBorders>
              <w:top w:val="nil"/>
              <w:bottom w:val="nil"/>
            </w:tcBorders>
          </w:tcPr>
          <w:p w14:paraId="4554FAF1" w14:textId="29E716F9" w:rsidR="009465EA" w:rsidRPr="009465EA" w:rsidRDefault="009465EA" w:rsidP="00BD44EF">
            <w:pPr>
              <w:tabs>
                <w:tab w:val="decimal" w:pos="1221"/>
              </w:tabs>
              <w:rPr>
                <w:rFonts w:ascii="Times New Roman" w:hAnsi="Times New Roman" w:cs="Times New Roman"/>
              </w:rPr>
            </w:pPr>
            <w:r w:rsidRPr="009465EA">
              <w:rPr>
                <w:rFonts w:ascii="Times New Roman" w:hAnsi="Times New Roman" w:cs="Times New Roman"/>
              </w:rPr>
              <w:t>15</w:t>
            </w:r>
          </w:p>
        </w:tc>
      </w:tr>
      <w:tr w:rsidR="009465EA" w:rsidRPr="00B824AA" w14:paraId="16DF94D6" w14:textId="77777777" w:rsidTr="00866620">
        <w:tc>
          <w:tcPr>
            <w:tcW w:w="2551" w:type="dxa"/>
            <w:tcBorders>
              <w:top w:val="nil"/>
              <w:bottom w:val="nil"/>
            </w:tcBorders>
          </w:tcPr>
          <w:p w14:paraId="724FD934" w14:textId="77777777" w:rsidR="009465EA" w:rsidRPr="00B824AA" w:rsidRDefault="009465EA" w:rsidP="00BD44EF">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7C4CA5A2" w14:textId="21690695" w:rsidR="009465EA" w:rsidRPr="009465EA" w:rsidRDefault="009465EA" w:rsidP="00BD44EF">
            <w:pPr>
              <w:tabs>
                <w:tab w:val="decimal" w:pos="1135"/>
              </w:tabs>
              <w:rPr>
                <w:rFonts w:ascii="Times New Roman" w:hAnsi="Times New Roman" w:cs="Times New Roman"/>
              </w:rPr>
            </w:pPr>
            <w:r w:rsidRPr="009465EA">
              <w:rPr>
                <w:rFonts w:ascii="Times New Roman" w:hAnsi="Times New Roman" w:cs="Times New Roman"/>
              </w:rPr>
              <w:t>41</w:t>
            </w:r>
          </w:p>
        </w:tc>
        <w:tc>
          <w:tcPr>
            <w:tcW w:w="2154" w:type="dxa"/>
            <w:tcBorders>
              <w:top w:val="nil"/>
              <w:bottom w:val="nil"/>
            </w:tcBorders>
          </w:tcPr>
          <w:p w14:paraId="237B40E6" w14:textId="552E377A" w:rsidR="009465EA" w:rsidRPr="009465EA" w:rsidRDefault="009465EA" w:rsidP="00BD44EF">
            <w:pPr>
              <w:tabs>
                <w:tab w:val="decimal" w:pos="1107"/>
              </w:tabs>
              <w:rPr>
                <w:rFonts w:ascii="Times New Roman" w:hAnsi="Times New Roman" w:cs="Times New Roman"/>
              </w:rPr>
            </w:pPr>
            <w:r w:rsidRPr="009465EA">
              <w:rPr>
                <w:rFonts w:ascii="Times New Roman" w:hAnsi="Times New Roman" w:cs="Times New Roman"/>
              </w:rPr>
              <w:t>44</w:t>
            </w:r>
          </w:p>
        </w:tc>
        <w:tc>
          <w:tcPr>
            <w:tcW w:w="2154" w:type="dxa"/>
            <w:tcBorders>
              <w:top w:val="nil"/>
              <w:bottom w:val="nil"/>
            </w:tcBorders>
          </w:tcPr>
          <w:p w14:paraId="4A757392" w14:textId="691329BF" w:rsidR="009465EA" w:rsidRPr="009465EA" w:rsidRDefault="009465EA" w:rsidP="00BD44EF">
            <w:pPr>
              <w:tabs>
                <w:tab w:val="decimal" w:pos="1221"/>
              </w:tabs>
              <w:rPr>
                <w:rFonts w:ascii="Times New Roman" w:hAnsi="Times New Roman" w:cs="Times New Roman"/>
              </w:rPr>
            </w:pPr>
            <w:r w:rsidRPr="009465EA">
              <w:rPr>
                <w:rFonts w:ascii="Times New Roman" w:hAnsi="Times New Roman" w:cs="Times New Roman"/>
              </w:rPr>
              <w:t>33</w:t>
            </w:r>
          </w:p>
        </w:tc>
      </w:tr>
      <w:tr w:rsidR="009465EA" w:rsidRPr="00B824AA" w14:paraId="22A68DA3" w14:textId="77777777" w:rsidTr="00866620">
        <w:tc>
          <w:tcPr>
            <w:tcW w:w="2551" w:type="dxa"/>
            <w:tcBorders>
              <w:top w:val="nil"/>
              <w:bottom w:val="nil"/>
            </w:tcBorders>
          </w:tcPr>
          <w:p w14:paraId="1A5DA5B1" w14:textId="77777777" w:rsidR="009465EA" w:rsidRPr="00B824AA" w:rsidRDefault="009465EA" w:rsidP="00BD44EF">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15AA49E0" w14:textId="1F3569D8" w:rsidR="009465EA" w:rsidRPr="009465EA" w:rsidRDefault="009465EA" w:rsidP="00BD44EF">
            <w:pPr>
              <w:tabs>
                <w:tab w:val="decimal" w:pos="1135"/>
              </w:tabs>
              <w:rPr>
                <w:rFonts w:ascii="Times New Roman" w:hAnsi="Times New Roman" w:cs="Times New Roman"/>
              </w:rPr>
            </w:pPr>
            <w:r w:rsidRPr="009465EA">
              <w:rPr>
                <w:rFonts w:ascii="Times New Roman" w:hAnsi="Times New Roman" w:cs="Times New Roman"/>
              </w:rPr>
              <w:t>108</w:t>
            </w:r>
          </w:p>
        </w:tc>
        <w:tc>
          <w:tcPr>
            <w:tcW w:w="2154" w:type="dxa"/>
            <w:tcBorders>
              <w:top w:val="nil"/>
              <w:bottom w:val="nil"/>
            </w:tcBorders>
          </w:tcPr>
          <w:p w14:paraId="40E0D04B" w14:textId="5F2A34B2" w:rsidR="009465EA" w:rsidRPr="009465EA" w:rsidRDefault="009465EA" w:rsidP="00BD44EF">
            <w:pPr>
              <w:tabs>
                <w:tab w:val="decimal" w:pos="1107"/>
              </w:tabs>
              <w:rPr>
                <w:rFonts w:ascii="Times New Roman" w:hAnsi="Times New Roman" w:cs="Times New Roman"/>
              </w:rPr>
            </w:pPr>
            <w:r w:rsidRPr="009465EA">
              <w:rPr>
                <w:rFonts w:ascii="Times New Roman" w:hAnsi="Times New Roman" w:cs="Times New Roman"/>
              </w:rPr>
              <w:t>109</w:t>
            </w:r>
          </w:p>
        </w:tc>
        <w:tc>
          <w:tcPr>
            <w:tcW w:w="2154" w:type="dxa"/>
            <w:tcBorders>
              <w:top w:val="nil"/>
              <w:bottom w:val="nil"/>
            </w:tcBorders>
          </w:tcPr>
          <w:p w14:paraId="0BA3B6C0" w14:textId="71347777" w:rsidR="009465EA" w:rsidRPr="009465EA" w:rsidRDefault="009465EA" w:rsidP="00BD44EF">
            <w:pPr>
              <w:tabs>
                <w:tab w:val="decimal" w:pos="1221"/>
              </w:tabs>
              <w:rPr>
                <w:rFonts w:ascii="Times New Roman" w:hAnsi="Times New Roman" w:cs="Times New Roman"/>
              </w:rPr>
            </w:pPr>
            <w:r w:rsidRPr="009465EA">
              <w:rPr>
                <w:rFonts w:ascii="Times New Roman" w:hAnsi="Times New Roman" w:cs="Times New Roman"/>
              </w:rPr>
              <w:t>105</w:t>
            </w:r>
          </w:p>
        </w:tc>
      </w:tr>
      <w:tr w:rsidR="009465EA" w:rsidRPr="00B824AA" w14:paraId="5EE4ECC6" w14:textId="77777777" w:rsidTr="00866620">
        <w:tc>
          <w:tcPr>
            <w:tcW w:w="2551" w:type="dxa"/>
            <w:tcBorders>
              <w:top w:val="nil"/>
              <w:bottom w:val="nil"/>
            </w:tcBorders>
            <w:vAlign w:val="center"/>
          </w:tcPr>
          <w:p w14:paraId="23F8B700" w14:textId="77777777" w:rsidR="009465EA" w:rsidRPr="00B824AA" w:rsidRDefault="009465EA" w:rsidP="00BD44EF">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17914961" w14:textId="04D7F22A" w:rsidR="009465EA" w:rsidRPr="009465EA" w:rsidRDefault="009465EA" w:rsidP="00BD44EF">
            <w:pPr>
              <w:tabs>
                <w:tab w:val="decimal" w:pos="1135"/>
              </w:tabs>
              <w:rPr>
                <w:rFonts w:ascii="Times New Roman" w:hAnsi="Times New Roman" w:cs="Times New Roman"/>
              </w:rPr>
            </w:pPr>
            <w:r w:rsidRPr="009465EA">
              <w:rPr>
                <w:rFonts w:ascii="Times New Roman" w:hAnsi="Times New Roman" w:cs="Times New Roman"/>
              </w:rPr>
              <w:t>100</w:t>
            </w:r>
          </w:p>
        </w:tc>
        <w:tc>
          <w:tcPr>
            <w:tcW w:w="2154" w:type="dxa"/>
            <w:tcBorders>
              <w:top w:val="nil"/>
              <w:bottom w:val="nil"/>
            </w:tcBorders>
          </w:tcPr>
          <w:p w14:paraId="3BB8C191" w14:textId="6B71F851" w:rsidR="009465EA" w:rsidRPr="009465EA" w:rsidRDefault="009465EA" w:rsidP="00BD44EF">
            <w:pPr>
              <w:tabs>
                <w:tab w:val="decimal" w:pos="1107"/>
              </w:tabs>
              <w:rPr>
                <w:rFonts w:ascii="Times New Roman" w:hAnsi="Times New Roman" w:cs="Times New Roman"/>
              </w:rPr>
            </w:pPr>
            <w:r w:rsidRPr="009465EA">
              <w:rPr>
                <w:rFonts w:ascii="Times New Roman" w:hAnsi="Times New Roman" w:cs="Times New Roman"/>
              </w:rPr>
              <w:t>101</w:t>
            </w:r>
          </w:p>
        </w:tc>
        <w:tc>
          <w:tcPr>
            <w:tcW w:w="2154" w:type="dxa"/>
            <w:tcBorders>
              <w:top w:val="nil"/>
              <w:bottom w:val="nil"/>
            </w:tcBorders>
          </w:tcPr>
          <w:p w14:paraId="39E69B69" w14:textId="0E502B13" w:rsidR="009465EA" w:rsidRPr="009465EA" w:rsidRDefault="009465EA" w:rsidP="00BD44EF">
            <w:pPr>
              <w:tabs>
                <w:tab w:val="decimal" w:pos="1221"/>
              </w:tabs>
              <w:rPr>
                <w:rFonts w:ascii="Times New Roman" w:hAnsi="Times New Roman" w:cs="Times New Roman"/>
              </w:rPr>
            </w:pPr>
            <w:r w:rsidRPr="009465EA">
              <w:rPr>
                <w:rFonts w:ascii="Times New Roman" w:hAnsi="Times New Roman" w:cs="Times New Roman"/>
              </w:rPr>
              <w:t>96</w:t>
            </w:r>
          </w:p>
        </w:tc>
      </w:tr>
      <w:tr w:rsidR="009465EA" w:rsidRPr="00B824AA" w14:paraId="13940DB3" w14:textId="77777777" w:rsidTr="00866620">
        <w:tc>
          <w:tcPr>
            <w:tcW w:w="2551" w:type="dxa"/>
            <w:tcBorders>
              <w:top w:val="nil"/>
              <w:bottom w:val="nil"/>
            </w:tcBorders>
            <w:vAlign w:val="center"/>
          </w:tcPr>
          <w:p w14:paraId="3CA26B61" w14:textId="31DE450D" w:rsidR="009465EA" w:rsidRPr="00B824AA" w:rsidRDefault="009465EA" w:rsidP="00BD44EF">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bottom w:val="nil"/>
            </w:tcBorders>
          </w:tcPr>
          <w:p w14:paraId="3DFE44ED" w14:textId="34911DBE" w:rsidR="009465EA" w:rsidRPr="009465EA" w:rsidRDefault="009465EA" w:rsidP="00BD44EF">
            <w:pPr>
              <w:tabs>
                <w:tab w:val="decimal" w:pos="1135"/>
              </w:tabs>
              <w:rPr>
                <w:rFonts w:ascii="Times New Roman" w:hAnsi="Times New Roman" w:cs="Times New Roman"/>
                <w:color w:val="000000"/>
              </w:rPr>
            </w:pPr>
            <w:r w:rsidRPr="009465EA">
              <w:rPr>
                <w:rFonts w:ascii="Times New Roman" w:hAnsi="Times New Roman" w:cs="Times New Roman"/>
              </w:rPr>
              <w:t>96</w:t>
            </w:r>
          </w:p>
        </w:tc>
        <w:tc>
          <w:tcPr>
            <w:tcW w:w="2154" w:type="dxa"/>
            <w:tcBorders>
              <w:top w:val="nil"/>
              <w:bottom w:val="nil"/>
            </w:tcBorders>
          </w:tcPr>
          <w:p w14:paraId="5EA70606" w14:textId="3E2ED173" w:rsidR="009465EA" w:rsidRPr="009465EA" w:rsidRDefault="009465EA" w:rsidP="00BD44EF">
            <w:pPr>
              <w:tabs>
                <w:tab w:val="decimal" w:pos="1107"/>
              </w:tabs>
              <w:rPr>
                <w:rFonts w:ascii="Times New Roman" w:hAnsi="Times New Roman" w:cs="Times New Roman"/>
                <w:color w:val="000000"/>
              </w:rPr>
            </w:pPr>
            <w:r w:rsidRPr="009465EA">
              <w:rPr>
                <w:rFonts w:ascii="Times New Roman" w:hAnsi="Times New Roman" w:cs="Times New Roman"/>
              </w:rPr>
              <w:t>97</w:t>
            </w:r>
          </w:p>
        </w:tc>
        <w:tc>
          <w:tcPr>
            <w:tcW w:w="2154" w:type="dxa"/>
            <w:tcBorders>
              <w:top w:val="nil"/>
              <w:bottom w:val="nil"/>
            </w:tcBorders>
          </w:tcPr>
          <w:p w14:paraId="489EEA6C" w14:textId="2525F0EF" w:rsidR="009465EA" w:rsidRPr="009465EA" w:rsidRDefault="009465EA" w:rsidP="00BD44EF">
            <w:pPr>
              <w:tabs>
                <w:tab w:val="decimal" w:pos="1221"/>
              </w:tabs>
              <w:rPr>
                <w:rFonts w:ascii="Times New Roman" w:hAnsi="Times New Roman" w:cs="Times New Roman"/>
                <w:color w:val="000000"/>
              </w:rPr>
            </w:pPr>
            <w:r w:rsidRPr="009465EA">
              <w:rPr>
                <w:rFonts w:ascii="Times New Roman" w:hAnsi="Times New Roman" w:cs="Times New Roman"/>
              </w:rPr>
              <w:t>93</w:t>
            </w:r>
          </w:p>
        </w:tc>
      </w:tr>
      <w:tr w:rsidR="00BF0B60" w:rsidRPr="00B824AA" w14:paraId="18EF19AE" w14:textId="77777777" w:rsidTr="00C9487A">
        <w:tc>
          <w:tcPr>
            <w:tcW w:w="2551" w:type="dxa"/>
            <w:tcBorders>
              <w:top w:val="nil"/>
              <w:bottom w:val="nil"/>
            </w:tcBorders>
          </w:tcPr>
          <w:p w14:paraId="6539675C" w14:textId="77777777" w:rsidR="00C9487A" w:rsidRPr="00B824AA" w:rsidRDefault="00C9487A" w:rsidP="00CC3BD8">
            <w:pPr>
              <w:ind w:left="316"/>
              <w:rPr>
                <w:rFonts w:ascii="Times New Roman" w:hAnsi="Times New Roman" w:cs="Times New Roman"/>
              </w:rPr>
            </w:pPr>
          </w:p>
          <w:p w14:paraId="6A946E4B" w14:textId="0F5C5BC6" w:rsidR="00BF0B60" w:rsidRPr="00B824AA" w:rsidRDefault="00BF0B60" w:rsidP="00CC3BD8">
            <w:pPr>
              <w:ind w:left="316"/>
              <w:rPr>
                <w:rFonts w:ascii="Times New Roman" w:hAnsi="Times New Roman" w:cs="Times New Roman"/>
              </w:rPr>
            </w:pPr>
            <w:r w:rsidRPr="00B824AA">
              <w:rPr>
                <w:rFonts w:ascii="Times New Roman" w:hAnsi="Times New Roman" w:cs="Times New Roman"/>
              </w:rPr>
              <w:lastRenderedPageBreak/>
              <w:t>Emisyjność nowych samochodów</w:t>
            </w:r>
          </w:p>
        </w:tc>
        <w:tc>
          <w:tcPr>
            <w:tcW w:w="2154" w:type="dxa"/>
            <w:tcBorders>
              <w:top w:val="nil"/>
              <w:bottom w:val="nil"/>
            </w:tcBorders>
          </w:tcPr>
          <w:p w14:paraId="5B582968" w14:textId="77777777" w:rsidR="00BF0B60" w:rsidRPr="00B824AA" w:rsidRDefault="00BF0B60" w:rsidP="00CC3BD8">
            <w:pPr>
              <w:tabs>
                <w:tab w:val="decimal" w:pos="1135"/>
              </w:tabs>
              <w:rPr>
                <w:rFonts w:ascii="Times New Roman" w:hAnsi="Times New Roman" w:cs="Times New Roman"/>
              </w:rPr>
            </w:pPr>
          </w:p>
        </w:tc>
        <w:tc>
          <w:tcPr>
            <w:tcW w:w="2154" w:type="dxa"/>
            <w:tcBorders>
              <w:top w:val="nil"/>
              <w:bottom w:val="nil"/>
            </w:tcBorders>
          </w:tcPr>
          <w:p w14:paraId="603965C7" w14:textId="77777777" w:rsidR="00BF0B60" w:rsidRPr="00B824AA" w:rsidRDefault="00BF0B60" w:rsidP="00CC3BD8">
            <w:pPr>
              <w:tabs>
                <w:tab w:val="decimal" w:pos="1107"/>
              </w:tabs>
              <w:rPr>
                <w:rFonts w:ascii="Times New Roman" w:hAnsi="Times New Roman" w:cs="Times New Roman"/>
              </w:rPr>
            </w:pPr>
          </w:p>
        </w:tc>
        <w:tc>
          <w:tcPr>
            <w:tcW w:w="2154" w:type="dxa"/>
            <w:tcBorders>
              <w:top w:val="nil"/>
              <w:bottom w:val="nil"/>
            </w:tcBorders>
          </w:tcPr>
          <w:p w14:paraId="15026BD2" w14:textId="77777777" w:rsidR="00BF0B60" w:rsidRPr="00B824AA" w:rsidRDefault="00BF0B60" w:rsidP="00CC3BD8">
            <w:pPr>
              <w:tabs>
                <w:tab w:val="decimal" w:pos="1221"/>
              </w:tabs>
              <w:rPr>
                <w:rFonts w:ascii="Times New Roman" w:hAnsi="Times New Roman" w:cs="Times New Roman"/>
              </w:rPr>
            </w:pPr>
          </w:p>
        </w:tc>
      </w:tr>
      <w:tr w:rsidR="000561AD" w:rsidRPr="00B824AA" w14:paraId="5B49BEB5" w14:textId="77777777" w:rsidTr="00866620">
        <w:tc>
          <w:tcPr>
            <w:tcW w:w="2551" w:type="dxa"/>
            <w:tcBorders>
              <w:top w:val="nil"/>
              <w:bottom w:val="nil"/>
            </w:tcBorders>
          </w:tcPr>
          <w:p w14:paraId="27B8D924" w14:textId="77777777" w:rsidR="000561AD" w:rsidRPr="00B824AA" w:rsidRDefault="000561AD" w:rsidP="00BD44EF">
            <w:pPr>
              <w:ind w:left="316"/>
              <w:rPr>
                <w:rFonts w:ascii="Times New Roman" w:hAnsi="Times New Roman" w:cs="Times New Roman"/>
              </w:rPr>
            </w:pPr>
            <w:r w:rsidRPr="00B824AA">
              <w:rPr>
                <w:rFonts w:ascii="Times New Roman" w:hAnsi="Times New Roman" w:cs="Times New Roman"/>
                <w:color w:val="000000"/>
              </w:rPr>
              <w:t>2010</w:t>
            </w:r>
          </w:p>
        </w:tc>
        <w:tc>
          <w:tcPr>
            <w:tcW w:w="2154" w:type="dxa"/>
            <w:tcBorders>
              <w:top w:val="nil"/>
              <w:bottom w:val="nil"/>
            </w:tcBorders>
          </w:tcPr>
          <w:p w14:paraId="796F0501" w14:textId="4267FCC9" w:rsidR="000561AD" w:rsidRPr="000561AD" w:rsidRDefault="000561AD" w:rsidP="00BD44EF">
            <w:pPr>
              <w:tabs>
                <w:tab w:val="decimal" w:pos="1135"/>
              </w:tabs>
              <w:rPr>
                <w:rFonts w:ascii="Times New Roman" w:hAnsi="Times New Roman" w:cs="Times New Roman"/>
              </w:rPr>
            </w:pPr>
            <w:r w:rsidRPr="000561AD">
              <w:rPr>
                <w:rFonts w:ascii="Times New Roman" w:hAnsi="Times New Roman" w:cs="Times New Roman"/>
              </w:rPr>
              <w:t>96</w:t>
            </w:r>
          </w:p>
        </w:tc>
        <w:tc>
          <w:tcPr>
            <w:tcW w:w="2154" w:type="dxa"/>
            <w:tcBorders>
              <w:top w:val="nil"/>
              <w:bottom w:val="nil"/>
            </w:tcBorders>
          </w:tcPr>
          <w:p w14:paraId="331FE9C8" w14:textId="2A597ECA" w:rsidR="000561AD" w:rsidRPr="000561AD" w:rsidRDefault="000561AD" w:rsidP="00BD44EF">
            <w:pPr>
              <w:tabs>
                <w:tab w:val="decimal" w:pos="1107"/>
              </w:tabs>
              <w:rPr>
                <w:rFonts w:ascii="Times New Roman" w:hAnsi="Times New Roman" w:cs="Times New Roman"/>
              </w:rPr>
            </w:pPr>
            <w:r w:rsidRPr="000561AD">
              <w:rPr>
                <w:rFonts w:ascii="Times New Roman" w:hAnsi="Times New Roman" w:cs="Times New Roman"/>
              </w:rPr>
              <w:t>95</w:t>
            </w:r>
          </w:p>
        </w:tc>
        <w:tc>
          <w:tcPr>
            <w:tcW w:w="2154" w:type="dxa"/>
            <w:tcBorders>
              <w:top w:val="nil"/>
              <w:bottom w:val="nil"/>
            </w:tcBorders>
          </w:tcPr>
          <w:p w14:paraId="6A585F37" w14:textId="4661E812" w:rsidR="000561AD" w:rsidRPr="000561AD" w:rsidRDefault="000561AD" w:rsidP="00BD44EF">
            <w:pPr>
              <w:tabs>
                <w:tab w:val="decimal" w:pos="1221"/>
              </w:tabs>
              <w:rPr>
                <w:rFonts w:ascii="Times New Roman" w:hAnsi="Times New Roman" w:cs="Times New Roman"/>
              </w:rPr>
            </w:pPr>
            <w:r w:rsidRPr="000561AD">
              <w:rPr>
                <w:rFonts w:ascii="Times New Roman" w:hAnsi="Times New Roman" w:cs="Times New Roman"/>
              </w:rPr>
              <w:t>101</w:t>
            </w:r>
          </w:p>
        </w:tc>
      </w:tr>
      <w:tr w:rsidR="000561AD" w:rsidRPr="00B824AA" w14:paraId="7245B19A" w14:textId="77777777" w:rsidTr="00866620">
        <w:tc>
          <w:tcPr>
            <w:tcW w:w="2551" w:type="dxa"/>
            <w:tcBorders>
              <w:top w:val="nil"/>
              <w:bottom w:val="nil"/>
            </w:tcBorders>
          </w:tcPr>
          <w:p w14:paraId="37261E04" w14:textId="77777777" w:rsidR="000561AD" w:rsidRPr="00B824AA" w:rsidRDefault="000561AD" w:rsidP="00BD44EF">
            <w:pPr>
              <w:ind w:left="316"/>
              <w:rPr>
                <w:rFonts w:ascii="Times New Roman" w:hAnsi="Times New Roman" w:cs="Times New Roman"/>
              </w:rPr>
            </w:pPr>
            <w:r w:rsidRPr="00B824AA">
              <w:rPr>
                <w:rFonts w:ascii="Times New Roman" w:hAnsi="Times New Roman" w:cs="Times New Roman"/>
                <w:color w:val="000000"/>
              </w:rPr>
              <w:t>2015</w:t>
            </w:r>
          </w:p>
        </w:tc>
        <w:tc>
          <w:tcPr>
            <w:tcW w:w="2154" w:type="dxa"/>
            <w:tcBorders>
              <w:top w:val="nil"/>
              <w:bottom w:val="nil"/>
            </w:tcBorders>
          </w:tcPr>
          <w:p w14:paraId="4C5A4762" w14:textId="3510C877" w:rsidR="000561AD" w:rsidRPr="000561AD" w:rsidRDefault="000561AD" w:rsidP="00BD44EF">
            <w:pPr>
              <w:tabs>
                <w:tab w:val="decimal" w:pos="1135"/>
              </w:tabs>
              <w:rPr>
                <w:rFonts w:ascii="Times New Roman" w:hAnsi="Times New Roman" w:cs="Times New Roman"/>
              </w:rPr>
            </w:pPr>
            <w:r w:rsidRPr="000561AD">
              <w:rPr>
                <w:rFonts w:ascii="Times New Roman" w:hAnsi="Times New Roman" w:cs="Times New Roman"/>
              </w:rPr>
              <w:t>92</w:t>
            </w:r>
          </w:p>
        </w:tc>
        <w:tc>
          <w:tcPr>
            <w:tcW w:w="2154" w:type="dxa"/>
            <w:tcBorders>
              <w:top w:val="nil"/>
              <w:bottom w:val="nil"/>
            </w:tcBorders>
          </w:tcPr>
          <w:p w14:paraId="3E7162D4" w14:textId="5FE75379" w:rsidR="000561AD" w:rsidRPr="000561AD" w:rsidRDefault="000561AD" w:rsidP="00BD44EF">
            <w:pPr>
              <w:tabs>
                <w:tab w:val="decimal" w:pos="1107"/>
              </w:tabs>
              <w:rPr>
                <w:rFonts w:ascii="Times New Roman" w:hAnsi="Times New Roman" w:cs="Times New Roman"/>
              </w:rPr>
            </w:pPr>
            <w:r w:rsidRPr="000561AD">
              <w:rPr>
                <w:rFonts w:ascii="Times New Roman" w:hAnsi="Times New Roman" w:cs="Times New Roman"/>
              </w:rPr>
              <w:t>91</w:t>
            </w:r>
          </w:p>
        </w:tc>
        <w:tc>
          <w:tcPr>
            <w:tcW w:w="2154" w:type="dxa"/>
            <w:tcBorders>
              <w:top w:val="nil"/>
              <w:bottom w:val="nil"/>
            </w:tcBorders>
          </w:tcPr>
          <w:p w14:paraId="1EE92BE5" w14:textId="487A256B" w:rsidR="000561AD" w:rsidRPr="000561AD" w:rsidRDefault="000561AD" w:rsidP="00BD44EF">
            <w:pPr>
              <w:tabs>
                <w:tab w:val="decimal" w:pos="1221"/>
              </w:tabs>
              <w:rPr>
                <w:rFonts w:ascii="Times New Roman" w:hAnsi="Times New Roman" w:cs="Times New Roman"/>
              </w:rPr>
            </w:pPr>
            <w:r w:rsidRPr="000561AD">
              <w:rPr>
                <w:rFonts w:ascii="Times New Roman" w:hAnsi="Times New Roman" w:cs="Times New Roman"/>
              </w:rPr>
              <w:t>99</w:t>
            </w:r>
          </w:p>
        </w:tc>
      </w:tr>
      <w:tr w:rsidR="000561AD" w:rsidRPr="00B824AA" w14:paraId="7DD314CC" w14:textId="77777777" w:rsidTr="00866620">
        <w:tc>
          <w:tcPr>
            <w:tcW w:w="2551" w:type="dxa"/>
            <w:tcBorders>
              <w:top w:val="nil"/>
              <w:bottom w:val="nil"/>
            </w:tcBorders>
          </w:tcPr>
          <w:p w14:paraId="76BB50BC" w14:textId="77777777" w:rsidR="000561AD" w:rsidRPr="00B824AA" w:rsidRDefault="000561AD" w:rsidP="00BD44EF">
            <w:pPr>
              <w:ind w:left="316"/>
              <w:rPr>
                <w:rFonts w:ascii="Times New Roman" w:hAnsi="Times New Roman" w:cs="Times New Roman"/>
              </w:rPr>
            </w:pPr>
            <w:r w:rsidRPr="00B824AA">
              <w:rPr>
                <w:rFonts w:ascii="Times New Roman" w:hAnsi="Times New Roman" w:cs="Times New Roman"/>
                <w:color w:val="000000"/>
              </w:rPr>
              <w:t>2020</w:t>
            </w:r>
          </w:p>
        </w:tc>
        <w:tc>
          <w:tcPr>
            <w:tcW w:w="2154" w:type="dxa"/>
            <w:tcBorders>
              <w:top w:val="nil"/>
              <w:bottom w:val="nil"/>
            </w:tcBorders>
          </w:tcPr>
          <w:p w14:paraId="0B153CCD" w14:textId="10FA5942" w:rsidR="000561AD" w:rsidRPr="000561AD" w:rsidRDefault="000561AD" w:rsidP="00BD44EF">
            <w:pPr>
              <w:tabs>
                <w:tab w:val="decimal" w:pos="1135"/>
              </w:tabs>
              <w:rPr>
                <w:rFonts w:ascii="Times New Roman" w:hAnsi="Times New Roman" w:cs="Times New Roman"/>
              </w:rPr>
            </w:pPr>
            <w:r w:rsidRPr="000561AD">
              <w:rPr>
                <w:rFonts w:ascii="Times New Roman" w:hAnsi="Times New Roman" w:cs="Times New Roman"/>
              </w:rPr>
              <w:t>87</w:t>
            </w:r>
          </w:p>
        </w:tc>
        <w:tc>
          <w:tcPr>
            <w:tcW w:w="2154" w:type="dxa"/>
            <w:tcBorders>
              <w:top w:val="nil"/>
              <w:bottom w:val="nil"/>
            </w:tcBorders>
          </w:tcPr>
          <w:p w14:paraId="48CA4BBB" w14:textId="6F3EF537" w:rsidR="000561AD" w:rsidRPr="000561AD" w:rsidRDefault="000561AD" w:rsidP="00BD44EF">
            <w:pPr>
              <w:tabs>
                <w:tab w:val="decimal" w:pos="1107"/>
              </w:tabs>
              <w:rPr>
                <w:rFonts w:ascii="Times New Roman" w:hAnsi="Times New Roman" w:cs="Times New Roman"/>
              </w:rPr>
            </w:pPr>
            <w:r w:rsidRPr="000561AD">
              <w:rPr>
                <w:rFonts w:ascii="Times New Roman" w:hAnsi="Times New Roman" w:cs="Times New Roman"/>
              </w:rPr>
              <w:t>85</w:t>
            </w:r>
          </w:p>
        </w:tc>
        <w:tc>
          <w:tcPr>
            <w:tcW w:w="2154" w:type="dxa"/>
            <w:tcBorders>
              <w:top w:val="nil"/>
              <w:bottom w:val="nil"/>
            </w:tcBorders>
          </w:tcPr>
          <w:p w14:paraId="13C814CF" w14:textId="5D5240AE" w:rsidR="000561AD" w:rsidRPr="000561AD" w:rsidRDefault="000561AD" w:rsidP="00BD44EF">
            <w:pPr>
              <w:tabs>
                <w:tab w:val="decimal" w:pos="1221"/>
              </w:tabs>
              <w:rPr>
                <w:rFonts w:ascii="Times New Roman" w:hAnsi="Times New Roman" w:cs="Times New Roman"/>
              </w:rPr>
            </w:pPr>
            <w:r w:rsidRPr="000561AD">
              <w:rPr>
                <w:rFonts w:ascii="Times New Roman" w:hAnsi="Times New Roman" w:cs="Times New Roman"/>
              </w:rPr>
              <w:t>98</w:t>
            </w:r>
          </w:p>
        </w:tc>
      </w:tr>
      <w:tr w:rsidR="000561AD" w:rsidRPr="00B824AA" w14:paraId="2CF6D52B" w14:textId="77777777" w:rsidTr="00866620">
        <w:tc>
          <w:tcPr>
            <w:tcW w:w="2551" w:type="dxa"/>
            <w:tcBorders>
              <w:top w:val="nil"/>
              <w:bottom w:val="nil"/>
            </w:tcBorders>
          </w:tcPr>
          <w:p w14:paraId="58403092" w14:textId="77777777" w:rsidR="000561AD" w:rsidRPr="00B824AA" w:rsidRDefault="000561AD" w:rsidP="00BD44EF">
            <w:pPr>
              <w:ind w:left="316"/>
              <w:rPr>
                <w:rFonts w:ascii="Times New Roman" w:hAnsi="Times New Roman" w:cs="Times New Roman"/>
              </w:rPr>
            </w:pPr>
            <w:r w:rsidRPr="00B824AA">
              <w:rPr>
                <w:rFonts w:ascii="Times New Roman" w:hAnsi="Times New Roman" w:cs="Times New Roman"/>
                <w:color w:val="000000"/>
              </w:rPr>
              <w:t>2021</w:t>
            </w:r>
          </w:p>
        </w:tc>
        <w:tc>
          <w:tcPr>
            <w:tcW w:w="2154" w:type="dxa"/>
            <w:tcBorders>
              <w:top w:val="nil"/>
              <w:bottom w:val="nil"/>
            </w:tcBorders>
          </w:tcPr>
          <w:p w14:paraId="319434EB" w14:textId="37883D3C" w:rsidR="000561AD" w:rsidRPr="000561AD" w:rsidRDefault="000561AD" w:rsidP="00BD44EF">
            <w:pPr>
              <w:tabs>
                <w:tab w:val="decimal" w:pos="1135"/>
              </w:tabs>
              <w:rPr>
                <w:rFonts w:ascii="Times New Roman" w:hAnsi="Times New Roman" w:cs="Times New Roman"/>
              </w:rPr>
            </w:pPr>
            <w:r w:rsidRPr="000561AD">
              <w:rPr>
                <w:rFonts w:ascii="Times New Roman" w:hAnsi="Times New Roman" w:cs="Times New Roman"/>
              </w:rPr>
              <w:t>86</w:t>
            </w:r>
          </w:p>
        </w:tc>
        <w:tc>
          <w:tcPr>
            <w:tcW w:w="2154" w:type="dxa"/>
            <w:tcBorders>
              <w:top w:val="nil"/>
              <w:bottom w:val="nil"/>
            </w:tcBorders>
          </w:tcPr>
          <w:p w14:paraId="1DBEFA15" w14:textId="00A20177" w:rsidR="000561AD" w:rsidRPr="000561AD" w:rsidRDefault="000561AD" w:rsidP="00BD44EF">
            <w:pPr>
              <w:tabs>
                <w:tab w:val="decimal" w:pos="1107"/>
              </w:tabs>
              <w:rPr>
                <w:rFonts w:ascii="Times New Roman" w:hAnsi="Times New Roman" w:cs="Times New Roman"/>
              </w:rPr>
            </w:pPr>
            <w:r w:rsidRPr="000561AD">
              <w:rPr>
                <w:rFonts w:ascii="Times New Roman" w:hAnsi="Times New Roman" w:cs="Times New Roman"/>
              </w:rPr>
              <w:t>83</w:t>
            </w:r>
          </w:p>
        </w:tc>
        <w:tc>
          <w:tcPr>
            <w:tcW w:w="2154" w:type="dxa"/>
            <w:tcBorders>
              <w:top w:val="nil"/>
              <w:bottom w:val="nil"/>
            </w:tcBorders>
          </w:tcPr>
          <w:p w14:paraId="428CC1E2" w14:textId="621EDD76" w:rsidR="000561AD" w:rsidRPr="000561AD" w:rsidRDefault="000561AD" w:rsidP="00BD44EF">
            <w:pPr>
              <w:tabs>
                <w:tab w:val="decimal" w:pos="1221"/>
              </w:tabs>
              <w:rPr>
                <w:rFonts w:ascii="Times New Roman" w:hAnsi="Times New Roman" w:cs="Times New Roman"/>
              </w:rPr>
            </w:pPr>
            <w:r w:rsidRPr="000561AD">
              <w:rPr>
                <w:rFonts w:ascii="Times New Roman" w:hAnsi="Times New Roman" w:cs="Times New Roman"/>
              </w:rPr>
              <w:t>99</w:t>
            </w:r>
          </w:p>
        </w:tc>
      </w:tr>
      <w:tr w:rsidR="000561AD" w:rsidRPr="00B824AA" w14:paraId="6F2C09D8" w14:textId="77777777" w:rsidTr="00866620">
        <w:tc>
          <w:tcPr>
            <w:tcW w:w="2551" w:type="dxa"/>
            <w:tcBorders>
              <w:top w:val="nil"/>
            </w:tcBorders>
          </w:tcPr>
          <w:p w14:paraId="16FCD283" w14:textId="07828434" w:rsidR="000561AD" w:rsidRPr="00B824AA" w:rsidRDefault="000561AD" w:rsidP="00BD44EF">
            <w:pPr>
              <w:ind w:left="316"/>
              <w:rPr>
                <w:rFonts w:ascii="Times New Roman" w:hAnsi="Times New Roman" w:cs="Times New Roman"/>
                <w:color w:val="000000"/>
              </w:rPr>
            </w:pPr>
            <w:r>
              <w:rPr>
                <w:rFonts w:ascii="Times New Roman" w:hAnsi="Times New Roman" w:cs="Times New Roman"/>
                <w:color w:val="000000"/>
              </w:rPr>
              <w:t>2022</w:t>
            </w:r>
          </w:p>
        </w:tc>
        <w:tc>
          <w:tcPr>
            <w:tcW w:w="2154" w:type="dxa"/>
            <w:tcBorders>
              <w:top w:val="nil"/>
            </w:tcBorders>
          </w:tcPr>
          <w:p w14:paraId="7C249745" w14:textId="5522F0A7" w:rsidR="000561AD" w:rsidRPr="000561AD" w:rsidRDefault="000561AD" w:rsidP="00BD44EF">
            <w:pPr>
              <w:tabs>
                <w:tab w:val="decimal" w:pos="1135"/>
              </w:tabs>
              <w:rPr>
                <w:rFonts w:ascii="Times New Roman" w:hAnsi="Times New Roman" w:cs="Times New Roman"/>
                <w:color w:val="000000"/>
              </w:rPr>
            </w:pPr>
            <w:r w:rsidRPr="000561AD">
              <w:rPr>
                <w:rFonts w:ascii="Times New Roman" w:hAnsi="Times New Roman" w:cs="Times New Roman"/>
              </w:rPr>
              <w:t>79</w:t>
            </w:r>
          </w:p>
        </w:tc>
        <w:tc>
          <w:tcPr>
            <w:tcW w:w="2154" w:type="dxa"/>
            <w:tcBorders>
              <w:top w:val="nil"/>
            </w:tcBorders>
          </w:tcPr>
          <w:p w14:paraId="22CC2E4D" w14:textId="3877147B" w:rsidR="000561AD" w:rsidRPr="000561AD" w:rsidRDefault="000561AD" w:rsidP="00BD44EF">
            <w:pPr>
              <w:tabs>
                <w:tab w:val="decimal" w:pos="1107"/>
              </w:tabs>
              <w:rPr>
                <w:rFonts w:ascii="Times New Roman" w:hAnsi="Times New Roman" w:cs="Times New Roman"/>
                <w:color w:val="000000"/>
              </w:rPr>
            </w:pPr>
            <w:r w:rsidRPr="000561AD">
              <w:rPr>
                <w:rFonts w:ascii="Times New Roman" w:hAnsi="Times New Roman" w:cs="Times New Roman"/>
              </w:rPr>
              <w:t>77</w:t>
            </w:r>
          </w:p>
        </w:tc>
        <w:tc>
          <w:tcPr>
            <w:tcW w:w="2154" w:type="dxa"/>
            <w:tcBorders>
              <w:top w:val="nil"/>
            </w:tcBorders>
          </w:tcPr>
          <w:p w14:paraId="0E18F999" w14:textId="4B59760B" w:rsidR="000561AD" w:rsidRPr="000561AD" w:rsidRDefault="000561AD" w:rsidP="00BD44EF">
            <w:pPr>
              <w:tabs>
                <w:tab w:val="decimal" w:pos="1221"/>
              </w:tabs>
              <w:rPr>
                <w:rFonts w:ascii="Times New Roman" w:hAnsi="Times New Roman" w:cs="Times New Roman"/>
                <w:color w:val="000000"/>
              </w:rPr>
            </w:pPr>
            <w:r w:rsidRPr="000561AD">
              <w:rPr>
                <w:rFonts w:ascii="Times New Roman" w:hAnsi="Times New Roman" w:cs="Times New Roman"/>
              </w:rPr>
              <w:t>98</w:t>
            </w:r>
          </w:p>
        </w:tc>
      </w:tr>
    </w:tbl>
    <w:p w14:paraId="405B38CC" w14:textId="77777777" w:rsidR="00A71013" w:rsidRPr="00B824AA" w:rsidRDefault="00A71013" w:rsidP="00A71013">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4D6423DA" w14:textId="18935D9F" w:rsidR="00EA3005" w:rsidRPr="00B824AA" w:rsidRDefault="00EA3005" w:rsidP="00EA3005">
      <w:pPr>
        <w:pStyle w:val="Heading1"/>
        <w:numPr>
          <w:ilvl w:val="0"/>
          <w:numId w:val="6"/>
        </w:numPr>
        <w:rPr>
          <w:rFonts w:ascii="Times New Roman" w:hAnsi="Times New Roman" w:cs="Times New Roman"/>
          <w:sz w:val="36"/>
          <w:szCs w:val="36"/>
        </w:rPr>
      </w:pPr>
      <w:bookmarkStart w:id="12" w:name="_Toc162905468"/>
      <w:r w:rsidRPr="00B824AA">
        <w:rPr>
          <w:rFonts w:ascii="Times New Roman" w:hAnsi="Times New Roman" w:cs="Times New Roman"/>
          <w:sz w:val="36"/>
          <w:szCs w:val="36"/>
        </w:rPr>
        <w:t>Ochrona środowiska</w:t>
      </w:r>
      <w:bookmarkEnd w:id="12"/>
      <w:r w:rsidR="00291F77" w:rsidRPr="00B824AA">
        <w:rPr>
          <w:rFonts w:ascii="Times New Roman" w:hAnsi="Times New Roman" w:cs="Times New Roman"/>
          <w:sz w:val="36"/>
          <w:szCs w:val="36"/>
          <w:vertAlign w:val="superscript"/>
        </w:rPr>
        <w:footnoteReference w:id="8"/>
      </w:r>
    </w:p>
    <w:p w14:paraId="15C03E49" w14:textId="30154545" w:rsidR="00EA3005" w:rsidRPr="00B824AA" w:rsidRDefault="00672335" w:rsidP="00EA3005">
      <w:pPr>
        <w:spacing w:line="360" w:lineRule="auto"/>
        <w:ind w:firstLine="360"/>
        <w:jc w:val="both"/>
        <w:rPr>
          <w:rFonts w:ascii="Times New Roman" w:hAnsi="Times New Roman" w:cs="Times New Roman"/>
          <w:i/>
          <w:iCs/>
          <w:sz w:val="24"/>
          <w:szCs w:val="24"/>
        </w:rPr>
      </w:pPr>
      <w:r w:rsidRPr="00B824AA">
        <w:rPr>
          <w:rFonts w:ascii="Times New Roman" w:hAnsi="Times New Roman" w:cs="Times New Roman"/>
          <w:i/>
          <w:iCs/>
          <w:sz w:val="24"/>
          <w:szCs w:val="24"/>
        </w:rPr>
        <w:t xml:space="preserve">Paweł </w:t>
      </w:r>
      <w:proofErr w:type="spellStart"/>
      <w:r w:rsidRPr="00B824AA">
        <w:rPr>
          <w:rFonts w:ascii="Times New Roman" w:hAnsi="Times New Roman" w:cs="Times New Roman"/>
          <w:i/>
          <w:iCs/>
          <w:sz w:val="24"/>
          <w:szCs w:val="24"/>
        </w:rPr>
        <w:t>Bartoszczuk</w:t>
      </w:r>
      <w:proofErr w:type="spellEnd"/>
      <w:r>
        <w:rPr>
          <w:rFonts w:ascii="Times New Roman" w:hAnsi="Times New Roman" w:cs="Times New Roman"/>
          <w:i/>
          <w:iCs/>
          <w:sz w:val="24"/>
          <w:szCs w:val="24"/>
        </w:rPr>
        <w:t xml:space="preserve">, </w:t>
      </w:r>
      <w:r w:rsidR="00EA3005" w:rsidRPr="00B824AA">
        <w:rPr>
          <w:rFonts w:ascii="Times New Roman" w:hAnsi="Times New Roman" w:cs="Times New Roman"/>
          <w:i/>
          <w:iCs/>
          <w:sz w:val="24"/>
          <w:szCs w:val="24"/>
        </w:rPr>
        <w:t>Agnieszka Chłoń-Domińczak</w:t>
      </w:r>
    </w:p>
    <w:p w14:paraId="7B90BCE4" w14:textId="3CF877A9" w:rsidR="00534A2E" w:rsidRPr="00B824AA" w:rsidRDefault="00AA1C35" w:rsidP="00534A2E">
      <w:pPr>
        <w:tabs>
          <w:tab w:val="left" w:pos="28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Ostatnim z wymiarów uwzględnionych we wskaźniku to ochrona środowiska. </w:t>
      </w:r>
      <w:r w:rsidR="00534A2E" w:rsidRPr="00B824AA">
        <w:rPr>
          <w:rFonts w:ascii="Times New Roman" w:hAnsi="Times New Roman" w:cs="Times New Roman"/>
          <w:sz w:val="24"/>
          <w:szCs w:val="24"/>
        </w:rPr>
        <w:t xml:space="preserve">Cząstkowy wskaźnik </w:t>
      </w:r>
      <w:proofErr w:type="spellStart"/>
      <w:r w:rsidR="009B2D4F">
        <w:rPr>
          <w:rFonts w:ascii="Times New Roman" w:hAnsi="Times New Roman" w:cs="Times New Roman"/>
          <w:i/>
          <w:iCs/>
          <w:sz w:val="24"/>
          <w:szCs w:val="24"/>
        </w:rPr>
        <w:t>catch-up</w:t>
      </w:r>
      <w:proofErr w:type="spellEnd"/>
      <w:r w:rsidR="00534A2E" w:rsidRPr="00B824AA">
        <w:rPr>
          <w:rFonts w:ascii="Times New Roman" w:hAnsi="Times New Roman" w:cs="Times New Roman"/>
          <w:i/>
          <w:iCs/>
          <w:sz w:val="24"/>
          <w:szCs w:val="24"/>
        </w:rPr>
        <w:t xml:space="preserve"> </w:t>
      </w:r>
      <w:r w:rsidR="00534A2E" w:rsidRPr="00B824AA">
        <w:rPr>
          <w:rFonts w:ascii="Times New Roman" w:hAnsi="Times New Roman" w:cs="Times New Roman"/>
          <w:sz w:val="24"/>
          <w:szCs w:val="24"/>
        </w:rPr>
        <w:t xml:space="preserve">w </w:t>
      </w:r>
      <w:r>
        <w:rPr>
          <w:rFonts w:ascii="Times New Roman" w:hAnsi="Times New Roman" w:cs="Times New Roman"/>
          <w:sz w:val="24"/>
          <w:szCs w:val="24"/>
        </w:rPr>
        <w:t>tym wymiarze</w:t>
      </w:r>
      <w:r w:rsidR="00534A2E" w:rsidRPr="00B824AA">
        <w:rPr>
          <w:rFonts w:ascii="Times New Roman" w:hAnsi="Times New Roman" w:cs="Times New Roman"/>
          <w:sz w:val="24"/>
          <w:szCs w:val="24"/>
        </w:rPr>
        <w:t xml:space="preserve"> wskazuje na </w:t>
      </w:r>
      <w:r w:rsidR="00272A23">
        <w:rPr>
          <w:rFonts w:ascii="Times New Roman" w:hAnsi="Times New Roman" w:cs="Times New Roman"/>
          <w:sz w:val="24"/>
          <w:szCs w:val="24"/>
        </w:rPr>
        <w:t>utrzymywanie się</w:t>
      </w:r>
      <w:r w:rsidR="00534A2E" w:rsidRPr="00B824AA">
        <w:rPr>
          <w:rFonts w:ascii="Times New Roman" w:hAnsi="Times New Roman" w:cs="Times New Roman"/>
          <w:sz w:val="24"/>
          <w:szCs w:val="24"/>
        </w:rPr>
        <w:t xml:space="preserve"> dystansu Polski w relacji do </w:t>
      </w:r>
      <w:r w:rsidR="00272A23">
        <w:rPr>
          <w:rFonts w:ascii="Times New Roman" w:hAnsi="Times New Roman" w:cs="Times New Roman"/>
          <w:sz w:val="24"/>
          <w:szCs w:val="24"/>
        </w:rPr>
        <w:t xml:space="preserve">krajów </w:t>
      </w:r>
      <w:r w:rsidR="00534A2E" w:rsidRPr="00B824AA">
        <w:rPr>
          <w:rFonts w:ascii="Times New Roman" w:hAnsi="Times New Roman" w:cs="Times New Roman"/>
          <w:sz w:val="24"/>
          <w:szCs w:val="24"/>
        </w:rPr>
        <w:t>UE 2</w:t>
      </w:r>
      <w:r w:rsidR="00272A23">
        <w:rPr>
          <w:rFonts w:ascii="Times New Roman" w:hAnsi="Times New Roman" w:cs="Times New Roman"/>
          <w:sz w:val="24"/>
          <w:szCs w:val="24"/>
        </w:rPr>
        <w:t>7</w:t>
      </w:r>
      <w:r w:rsidR="00534A2E" w:rsidRPr="00B824AA">
        <w:rPr>
          <w:rFonts w:ascii="Times New Roman" w:hAnsi="Times New Roman" w:cs="Times New Roman"/>
          <w:sz w:val="24"/>
          <w:szCs w:val="24"/>
        </w:rPr>
        <w:t>. W 202</w:t>
      </w:r>
      <w:r w:rsidR="00FC7577">
        <w:rPr>
          <w:rFonts w:ascii="Times New Roman" w:hAnsi="Times New Roman" w:cs="Times New Roman"/>
          <w:sz w:val="24"/>
          <w:szCs w:val="24"/>
        </w:rPr>
        <w:t>2</w:t>
      </w:r>
      <w:r w:rsidR="00534A2E" w:rsidRPr="00B824AA">
        <w:rPr>
          <w:rFonts w:ascii="Times New Roman" w:hAnsi="Times New Roman" w:cs="Times New Roman"/>
          <w:sz w:val="24"/>
          <w:szCs w:val="24"/>
        </w:rPr>
        <w:t xml:space="preserve"> r. wskaźnik ten </w:t>
      </w:r>
      <w:r w:rsidR="00F16A07">
        <w:rPr>
          <w:rFonts w:ascii="Times New Roman" w:hAnsi="Times New Roman" w:cs="Times New Roman"/>
          <w:sz w:val="24"/>
          <w:szCs w:val="24"/>
        </w:rPr>
        <w:t>wynosił 67 procent i spadł o 4 punkty procentowe</w:t>
      </w:r>
      <w:r w:rsidR="00534A2E" w:rsidRPr="00B824AA">
        <w:rPr>
          <w:rFonts w:ascii="Times New Roman" w:hAnsi="Times New Roman" w:cs="Times New Roman"/>
          <w:sz w:val="24"/>
          <w:szCs w:val="24"/>
        </w:rPr>
        <w:t xml:space="preserve">, a </w:t>
      </w:r>
      <w:r w:rsidR="00D06A2B">
        <w:rPr>
          <w:rFonts w:ascii="Times New Roman" w:hAnsi="Times New Roman" w:cs="Times New Roman"/>
          <w:sz w:val="24"/>
          <w:szCs w:val="24"/>
        </w:rPr>
        <w:t>w porównaniu do</w:t>
      </w:r>
      <w:r w:rsidR="00534A2E" w:rsidRPr="00B824AA">
        <w:rPr>
          <w:rFonts w:ascii="Times New Roman" w:hAnsi="Times New Roman" w:cs="Times New Roman"/>
          <w:sz w:val="24"/>
          <w:szCs w:val="24"/>
        </w:rPr>
        <w:t xml:space="preserve"> 2010</w:t>
      </w:r>
      <w:r w:rsidR="00D06A2B">
        <w:rPr>
          <w:rFonts w:ascii="Times New Roman" w:hAnsi="Times New Roman" w:cs="Times New Roman"/>
          <w:sz w:val="24"/>
          <w:szCs w:val="24"/>
        </w:rPr>
        <w:t> </w:t>
      </w:r>
      <w:r w:rsidR="00534A2E" w:rsidRPr="00B824AA">
        <w:rPr>
          <w:rFonts w:ascii="Times New Roman" w:hAnsi="Times New Roman" w:cs="Times New Roman"/>
          <w:sz w:val="24"/>
          <w:szCs w:val="24"/>
        </w:rPr>
        <w:t xml:space="preserve">r. jego wartość </w:t>
      </w:r>
      <w:r w:rsidR="002E4ABE">
        <w:rPr>
          <w:rFonts w:ascii="Times New Roman" w:hAnsi="Times New Roman" w:cs="Times New Roman"/>
          <w:sz w:val="24"/>
          <w:szCs w:val="24"/>
        </w:rPr>
        <w:t>była niższa</w:t>
      </w:r>
      <w:r w:rsidR="00534A2E" w:rsidRPr="00B824AA">
        <w:rPr>
          <w:rFonts w:ascii="Times New Roman" w:hAnsi="Times New Roman" w:cs="Times New Roman"/>
          <w:sz w:val="24"/>
          <w:szCs w:val="24"/>
        </w:rPr>
        <w:t xml:space="preserve"> o </w:t>
      </w:r>
      <w:r w:rsidR="004F278D">
        <w:rPr>
          <w:rFonts w:ascii="Times New Roman" w:hAnsi="Times New Roman" w:cs="Times New Roman"/>
          <w:sz w:val="24"/>
          <w:szCs w:val="24"/>
        </w:rPr>
        <w:t>4</w:t>
      </w:r>
      <w:r w:rsidR="00534A2E" w:rsidRPr="00B824AA">
        <w:rPr>
          <w:rFonts w:ascii="Times New Roman" w:hAnsi="Times New Roman" w:cs="Times New Roman"/>
          <w:sz w:val="24"/>
          <w:szCs w:val="24"/>
        </w:rPr>
        <w:t xml:space="preserve"> punkt</w:t>
      </w:r>
      <w:r w:rsidR="002E4ABE">
        <w:rPr>
          <w:rFonts w:ascii="Times New Roman" w:hAnsi="Times New Roman" w:cs="Times New Roman"/>
          <w:sz w:val="24"/>
          <w:szCs w:val="24"/>
        </w:rPr>
        <w:t>y</w:t>
      </w:r>
      <w:r w:rsidR="00534A2E" w:rsidRPr="00B824AA">
        <w:rPr>
          <w:rFonts w:ascii="Times New Roman" w:hAnsi="Times New Roman" w:cs="Times New Roman"/>
          <w:sz w:val="24"/>
          <w:szCs w:val="24"/>
        </w:rPr>
        <w:t xml:space="preserve"> procentow</w:t>
      </w:r>
      <w:r w:rsidR="00130D8E">
        <w:rPr>
          <w:rFonts w:ascii="Times New Roman" w:hAnsi="Times New Roman" w:cs="Times New Roman"/>
          <w:sz w:val="24"/>
          <w:szCs w:val="24"/>
        </w:rPr>
        <w:t>e</w:t>
      </w:r>
      <w:r w:rsidR="00534A2E" w:rsidRPr="00B824AA">
        <w:rPr>
          <w:rFonts w:ascii="Times New Roman" w:hAnsi="Times New Roman" w:cs="Times New Roman"/>
          <w:sz w:val="24"/>
          <w:szCs w:val="24"/>
        </w:rPr>
        <w:t xml:space="preserve">. </w:t>
      </w:r>
      <w:r w:rsidR="00130D8E">
        <w:rPr>
          <w:rFonts w:ascii="Times New Roman" w:hAnsi="Times New Roman" w:cs="Times New Roman"/>
          <w:sz w:val="24"/>
          <w:szCs w:val="24"/>
        </w:rPr>
        <w:t>D</w:t>
      </w:r>
      <w:r w:rsidR="00534A2E" w:rsidRPr="00B824AA">
        <w:rPr>
          <w:rFonts w:ascii="Times New Roman" w:hAnsi="Times New Roman" w:cs="Times New Roman"/>
          <w:sz w:val="24"/>
          <w:szCs w:val="24"/>
        </w:rPr>
        <w:t>ystans, który dzieli</w:t>
      </w:r>
      <w:r w:rsidR="004F278D">
        <w:rPr>
          <w:rFonts w:ascii="Times New Roman" w:hAnsi="Times New Roman" w:cs="Times New Roman"/>
          <w:sz w:val="24"/>
          <w:szCs w:val="24"/>
        </w:rPr>
        <w:t>ł w 2022 r.</w:t>
      </w:r>
      <w:r w:rsidR="00534A2E" w:rsidRPr="00B824AA">
        <w:rPr>
          <w:rFonts w:ascii="Times New Roman" w:hAnsi="Times New Roman" w:cs="Times New Roman"/>
          <w:sz w:val="24"/>
          <w:szCs w:val="24"/>
        </w:rPr>
        <w:t xml:space="preserve"> Polskę od krajów</w:t>
      </w:r>
      <w:r w:rsidR="00130D8E">
        <w:rPr>
          <w:rFonts w:ascii="Times New Roman" w:hAnsi="Times New Roman" w:cs="Times New Roman"/>
          <w:sz w:val="24"/>
          <w:szCs w:val="24"/>
        </w:rPr>
        <w:t xml:space="preserve"> UE 14</w:t>
      </w:r>
      <w:r w:rsidR="00534A2E" w:rsidRPr="00B824AA">
        <w:rPr>
          <w:rFonts w:ascii="Times New Roman" w:hAnsi="Times New Roman" w:cs="Times New Roman"/>
          <w:sz w:val="24"/>
          <w:szCs w:val="24"/>
        </w:rPr>
        <w:t xml:space="preserve"> jest w </w:t>
      </w:r>
      <w:r w:rsidR="00130D8E">
        <w:rPr>
          <w:rFonts w:ascii="Times New Roman" w:hAnsi="Times New Roman" w:cs="Times New Roman"/>
          <w:sz w:val="24"/>
          <w:szCs w:val="24"/>
        </w:rPr>
        <w:t>wymiarze</w:t>
      </w:r>
      <w:r w:rsidR="00534A2E" w:rsidRPr="00B824AA">
        <w:rPr>
          <w:rFonts w:ascii="Times New Roman" w:hAnsi="Times New Roman" w:cs="Times New Roman"/>
          <w:sz w:val="24"/>
          <w:szCs w:val="24"/>
        </w:rPr>
        <w:t xml:space="preserve"> ochrony środowiska znacznie większy, niż w przypadku krajów </w:t>
      </w:r>
      <w:r w:rsidR="00130D8E">
        <w:rPr>
          <w:rFonts w:ascii="Times New Roman" w:hAnsi="Times New Roman" w:cs="Times New Roman"/>
          <w:sz w:val="24"/>
          <w:szCs w:val="24"/>
        </w:rPr>
        <w:t>UE 13 (odpowiednio 3</w:t>
      </w:r>
      <w:r w:rsidR="009069CA">
        <w:rPr>
          <w:rFonts w:ascii="Times New Roman" w:hAnsi="Times New Roman" w:cs="Times New Roman"/>
          <w:sz w:val="24"/>
          <w:szCs w:val="24"/>
        </w:rPr>
        <w:t>6</w:t>
      </w:r>
      <w:r w:rsidR="00130D8E">
        <w:rPr>
          <w:rFonts w:ascii="Times New Roman" w:hAnsi="Times New Roman" w:cs="Times New Roman"/>
          <w:sz w:val="24"/>
          <w:szCs w:val="24"/>
        </w:rPr>
        <w:t xml:space="preserve"> i </w:t>
      </w:r>
      <w:r w:rsidR="00AB73C5">
        <w:rPr>
          <w:rFonts w:ascii="Times New Roman" w:hAnsi="Times New Roman" w:cs="Times New Roman"/>
          <w:sz w:val="24"/>
          <w:szCs w:val="24"/>
        </w:rPr>
        <w:t>7+</w:t>
      </w:r>
      <w:r w:rsidR="00130D8E">
        <w:rPr>
          <w:rFonts w:ascii="Times New Roman" w:hAnsi="Times New Roman" w:cs="Times New Roman"/>
          <w:sz w:val="24"/>
          <w:szCs w:val="24"/>
        </w:rPr>
        <w:t xml:space="preserve"> punktów procentowych)</w:t>
      </w:r>
      <w:r w:rsidR="00D84B50">
        <w:rPr>
          <w:rFonts w:ascii="Times New Roman" w:hAnsi="Times New Roman" w:cs="Times New Roman"/>
          <w:sz w:val="24"/>
          <w:szCs w:val="24"/>
        </w:rPr>
        <w:t>, co przedstawia Tabela 9.</w:t>
      </w:r>
    </w:p>
    <w:p w14:paraId="7AAB7CCC" w14:textId="72A2662C" w:rsidR="00534A2E" w:rsidRPr="00B824AA" w:rsidRDefault="00130D8E" w:rsidP="00534A2E">
      <w:pPr>
        <w:tabs>
          <w:tab w:val="left" w:pos="2835"/>
        </w:tabs>
        <w:spacing w:line="360" w:lineRule="auto"/>
        <w:jc w:val="both"/>
        <w:rPr>
          <w:rFonts w:ascii="Times New Roman" w:hAnsi="Times New Roman" w:cs="Times New Roman"/>
          <w:sz w:val="24"/>
          <w:szCs w:val="24"/>
        </w:rPr>
      </w:pPr>
      <w:r>
        <w:rPr>
          <w:rFonts w:ascii="Times New Roman" w:hAnsi="Times New Roman" w:cs="Times New Roman"/>
          <w:sz w:val="24"/>
          <w:szCs w:val="24"/>
        </w:rPr>
        <w:t>Wskaźnik</w:t>
      </w:r>
      <w:r w:rsidR="00534A2E" w:rsidRPr="00B824AA">
        <w:rPr>
          <w:rFonts w:ascii="Times New Roman" w:hAnsi="Times New Roman" w:cs="Times New Roman"/>
          <w:sz w:val="24"/>
          <w:szCs w:val="24"/>
        </w:rPr>
        <w:t xml:space="preserve"> </w:t>
      </w:r>
      <w:proofErr w:type="spellStart"/>
      <w:r w:rsidR="009B2D4F">
        <w:rPr>
          <w:rFonts w:ascii="Times New Roman" w:hAnsi="Times New Roman" w:cs="Times New Roman"/>
          <w:i/>
          <w:iCs/>
          <w:sz w:val="24"/>
          <w:szCs w:val="24"/>
        </w:rPr>
        <w:t>catch-up</w:t>
      </w:r>
      <w:proofErr w:type="spellEnd"/>
      <w:r w:rsidR="00534A2E" w:rsidRPr="00B824AA">
        <w:rPr>
          <w:rFonts w:ascii="Times New Roman" w:hAnsi="Times New Roman" w:cs="Times New Roman"/>
          <w:sz w:val="24"/>
          <w:szCs w:val="24"/>
        </w:rPr>
        <w:t xml:space="preserve"> w </w:t>
      </w:r>
      <w:r>
        <w:rPr>
          <w:rFonts w:ascii="Times New Roman" w:hAnsi="Times New Roman" w:cs="Times New Roman"/>
          <w:sz w:val="24"/>
          <w:szCs w:val="24"/>
        </w:rPr>
        <w:t>wymiarze</w:t>
      </w:r>
      <w:r w:rsidR="00534A2E" w:rsidRPr="00B824AA">
        <w:rPr>
          <w:rFonts w:ascii="Times New Roman" w:hAnsi="Times New Roman" w:cs="Times New Roman"/>
          <w:sz w:val="24"/>
          <w:szCs w:val="24"/>
        </w:rPr>
        <w:t xml:space="preserve"> ochrona środowiska obliczony na podstawie dziesięciu wskaźników cząstkowych, które </w:t>
      </w:r>
      <w:r>
        <w:rPr>
          <w:rFonts w:ascii="Times New Roman" w:hAnsi="Times New Roman" w:cs="Times New Roman"/>
          <w:sz w:val="24"/>
          <w:szCs w:val="24"/>
        </w:rPr>
        <w:t xml:space="preserve">dotyczą: </w:t>
      </w:r>
      <w:r w:rsidR="00534A2E" w:rsidRPr="00B824AA">
        <w:rPr>
          <w:rFonts w:ascii="Times New Roman" w:hAnsi="Times New Roman" w:cs="Times New Roman"/>
          <w:sz w:val="24"/>
          <w:szCs w:val="24"/>
        </w:rPr>
        <w:t>gospodark</w:t>
      </w:r>
      <w:r>
        <w:rPr>
          <w:rFonts w:ascii="Times New Roman" w:hAnsi="Times New Roman" w:cs="Times New Roman"/>
          <w:sz w:val="24"/>
          <w:szCs w:val="24"/>
        </w:rPr>
        <w:t>i</w:t>
      </w:r>
      <w:r w:rsidR="00534A2E" w:rsidRPr="00B824AA">
        <w:rPr>
          <w:rFonts w:ascii="Times New Roman" w:hAnsi="Times New Roman" w:cs="Times New Roman"/>
          <w:sz w:val="24"/>
          <w:szCs w:val="24"/>
        </w:rPr>
        <w:t xml:space="preserve"> odpadami, oczyszczani</w:t>
      </w:r>
      <w:r>
        <w:rPr>
          <w:rFonts w:ascii="Times New Roman" w:hAnsi="Times New Roman" w:cs="Times New Roman"/>
          <w:sz w:val="24"/>
          <w:szCs w:val="24"/>
        </w:rPr>
        <w:t>a</w:t>
      </w:r>
      <w:r w:rsidR="00534A2E" w:rsidRPr="00B824AA">
        <w:rPr>
          <w:rFonts w:ascii="Times New Roman" w:hAnsi="Times New Roman" w:cs="Times New Roman"/>
          <w:sz w:val="24"/>
          <w:szCs w:val="24"/>
        </w:rPr>
        <w:t xml:space="preserve"> ścieków, produkcj</w:t>
      </w:r>
      <w:r>
        <w:rPr>
          <w:rFonts w:ascii="Times New Roman" w:hAnsi="Times New Roman" w:cs="Times New Roman"/>
          <w:sz w:val="24"/>
          <w:szCs w:val="24"/>
        </w:rPr>
        <w:t>i</w:t>
      </w:r>
      <w:r w:rsidR="00534A2E" w:rsidRPr="00B824AA">
        <w:rPr>
          <w:rFonts w:ascii="Times New Roman" w:hAnsi="Times New Roman" w:cs="Times New Roman"/>
          <w:sz w:val="24"/>
          <w:szCs w:val="24"/>
        </w:rPr>
        <w:t xml:space="preserve"> i wykorzystani</w:t>
      </w:r>
      <w:r>
        <w:rPr>
          <w:rFonts w:ascii="Times New Roman" w:hAnsi="Times New Roman" w:cs="Times New Roman"/>
          <w:sz w:val="24"/>
          <w:szCs w:val="24"/>
        </w:rPr>
        <w:t>a</w:t>
      </w:r>
      <w:r w:rsidR="00534A2E" w:rsidRPr="00B824AA">
        <w:rPr>
          <w:rFonts w:ascii="Times New Roman" w:hAnsi="Times New Roman" w:cs="Times New Roman"/>
          <w:sz w:val="24"/>
          <w:szCs w:val="24"/>
        </w:rPr>
        <w:t xml:space="preserve"> energii odnawialnej w gospodarce, emisj</w:t>
      </w:r>
      <w:r>
        <w:rPr>
          <w:rFonts w:ascii="Times New Roman" w:hAnsi="Times New Roman" w:cs="Times New Roman"/>
          <w:sz w:val="24"/>
          <w:szCs w:val="24"/>
        </w:rPr>
        <w:t xml:space="preserve">i </w:t>
      </w:r>
      <w:r w:rsidR="00534A2E" w:rsidRPr="00B824AA">
        <w:rPr>
          <w:rFonts w:ascii="Times New Roman" w:hAnsi="Times New Roman" w:cs="Times New Roman"/>
          <w:sz w:val="24"/>
          <w:szCs w:val="24"/>
        </w:rPr>
        <w:t xml:space="preserve">i </w:t>
      </w:r>
      <w:r>
        <w:rPr>
          <w:rFonts w:ascii="Times New Roman" w:hAnsi="Times New Roman" w:cs="Times New Roman"/>
          <w:sz w:val="24"/>
          <w:szCs w:val="24"/>
        </w:rPr>
        <w:t>z</w:t>
      </w:r>
      <w:r w:rsidR="00534A2E" w:rsidRPr="00B824AA">
        <w:rPr>
          <w:rFonts w:ascii="Times New Roman" w:hAnsi="Times New Roman" w:cs="Times New Roman"/>
          <w:sz w:val="24"/>
          <w:szCs w:val="24"/>
        </w:rPr>
        <w:t>użyci</w:t>
      </w:r>
      <w:r>
        <w:rPr>
          <w:rFonts w:ascii="Times New Roman" w:hAnsi="Times New Roman" w:cs="Times New Roman"/>
          <w:sz w:val="24"/>
          <w:szCs w:val="24"/>
        </w:rPr>
        <w:t>a</w:t>
      </w:r>
      <w:r w:rsidR="00534A2E" w:rsidRPr="00B824AA">
        <w:rPr>
          <w:rFonts w:ascii="Times New Roman" w:hAnsi="Times New Roman" w:cs="Times New Roman"/>
          <w:sz w:val="24"/>
          <w:szCs w:val="24"/>
        </w:rPr>
        <w:t xml:space="preserve"> materiałów.</w:t>
      </w:r>
    </w:p>
    <w:p w14:paraId="1FDF959F" w14:textId="09F57B6E"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Pierwszy wskaźnik cząstkowy w </w:t>
      </w:r>
      <w:r w:rsidR="00130D8E">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w:t>
      </w:r>
      <w:r w:rsidR="00130D8E">
        <w:rPr>
          <w:rFonts w:ascii="Times New Roman" w:hAnsi="Times New Roman" w:cs="Times New Roman"/>
          <w:sz w:val="24"/>
          <w:szCs w:val="24"/>
        </w:rPr>
        <w:t>porównuje</w:t>
      </w:r>
      <w:r w:rsidRPr="00B824AA">
        <w:rPr>
          <w:rFonts w:ascii="Times New Roman" w:hAnsi="Times New Roman" w:cs="Times New Roman"/>
          <w:sz w:val="24"/>
          <w:szCs w:val="24"/>
        </w:rPr>
        <w:t xml:space="preserve"> odpad</w:t>
      </w:r>
      <w:r w:rsidR="00130D8E">
        <w:rPr>
          <w:rFonts w:ascii="Times New Roman" w:hAnsi="Times New Roman" w:cs="Times New Roman"/>
          <w:sz w:val="24"/>
          <w:szCs w:val="24"/>
        </w:rPr>
        <w:t>y</w:t>
      </w:r>
      <w:r w:rsidRPr="00B824AA">
        <w:rPr>
          <w:rFonts w:ascii="Times New Roman" w:hAnsi="Times New Roman" w:cs="Times New Roman"/>
          <w:sz w:val="24"/>
          <w:szCs w:val="24"/>
        </w:rPr>
        <w:t xml:space="preserve"> komunaln</w:t>
      </w:r>
      <w:r w:rsidR="00612D17">
        <w:rPr>
          <w:rFonts w:ascii="Times New Roman" w:hAnsi="Times New Roman" w:cs="Times New Roman"/>
          <w:sz w:val="24"/>
          <w:szCs w:val="24"/>
        </w:rPr>
        <w:t>e</w:t>
      </w:r>
      <w:r w:rsidRPr="00B824AA">
        <w:rPr>
          <w:rFonts w:ascii="Times New Roman" w:hAnsi="Times New Roman" w:cs="Times New Roman"/>
          <w:sz w:val="24"/>
          <w:szCs w:val="24"/>
        </w:rPr>
        <w:t xml:space="preserve"> wytwarzanych na 1 mieszkańca. Na ilość wytwarzanych odpadów komunalnych składają się odpady odbierane przez lub w imieniu władz gminnych i unieszkodliwiane w</w:t>
      </w:r>
      <w:r w:rsidR="00FF43F6">
        <w:rPr>
          <w:rFonts w:ascii="Times New Roman" w:hAnsi="Times New Roman" w:cs="Times New Roman"/>
          <w:sz w:val="24"/>
          <w:szCs w:val="24"/>
        </w:rPr>
        <w:t> </w:t>
      </w:r>
      <w:r w:rsidRPr="00B824AA">
        <w:rPr>
          <w:rFonts w:ascii="Times New Roman" w:hAnsi="Times New Roman" w:cs="Times New Roman"/>
          <w:sz w:val="24"/>
          <w:szCs w:val="24"/>
        </w:rPr>
        <w:t>ramach systemu gospodarki odpadami. Ilość przetworzonych odpadów komunalnych jest zgłaszana dla operacji przetwarzania: spalania (z odzyskiem energii i bez), recyklingu, kompostowania i składowania. We wskaźniku tym nie uwzględni</w:t>
      </w:r>
      <w:r w:rsidR="00130D8E">
        <w:rPr>
          <w:rFonts w:ascii="Times New Roman" w:hAnsi="Times New Roman" w:cs="Times New Roman"/>
          <w:sz w:val="24"/>
          <w:szCs w:val="24"/>
        </w:rPr>
        <w:t>a się</w:t>
      </w:r>
      <w:r w:rsidRPr="00B824AA">
        <w:rPr>
          <w:rFonts w:ascii="Times New Roman" w:hAnsi="Times New Roman" w:cs="Times New Roman"/>
          <w:sz w:val="24"/>
          <w:szCs w:val="24"/>
        </w:rPr>
        <w:t xml:space="preserve"> odpadów z rolnictwa i</w:t>
      </w:r>
      <w:r w:rsidR="00130D8E">
        <w:rPr>
          <w:rFonts w:ascii="Times New Roman" w:hAnsi="Times New Roman" w:cs="Times New Roman"/>
          <w:sz w:val="24"/>
          <w:szCs w:val="24"/>
        </w:rPr>
        <w:t> </w:t>
      </w:r>
      <w:r w:rsidRPr="00B824AA">
        <w:rPr>
          <w:rFonts w:ascii="Times New Roman" w:hAnsi="Times New Roman" w:cs="Times New Roman"/>
          <w:sz w:val="24"/>
          <w:szCs w:val="24"/>
        </w:rPr>
        <w:t xml:space="preserve">przemysłu. Wartość tego wskaźnika dla Polski pokazuje relatywnie korzystną sytuację, w porównaniu do </w:t>
      </w:r>
      <w:r w:rsidR="00A8077C">
        <w:rPr>
          <w:rFonts w:ascii="Times New Roman" w:hAnsi="Times New Roman" w:cs="Times New Roman"/>
          <w:sz w:val="24"/>
          <w:szCs w:val="24"/>
        </w:rPr>
        <w:t>wszystkich wyodrębnionych grup krajów</w:t>
      </w:r>
      <w:r w:rsidR="00797BFD">
        <w:rPr>
          <w:rFonts w:ascii="Times New Roman" w:hAnsi="Times New Roman" w:cs="Times New Roman"/>
          <w:sz w:val="24"/>
          <w:szCs w:val="24"/>
        </w:rPr>
        <w:t xml:space="preserve"> – w 2022 r. wskaźnik ten wynosił 135 procent (spadek o 4 punkty procentowe w porównaniu do 2021 r.)</w:t>
      </w:r>
      <w:r w:rsidRPr="00B824AA">
        <w:rPr>
          <w:rFonts w:ascii="Times New Roman" w:hAnsi="Times New Roman" w:cs="Times New Roman"/>
          <w:sz w:val="24"/>
          <w:szCs w:val="24"/>
        </w:rPr>
        <w:t xml:space="preserve"> W</w:t>
      </w:r>
      <w:r w:rsidR="00A8077C">
        <w:rPr>
          <w:rFonts w:ascii="Times New Roman" w:hAnsi="Times New Roman" w:cs="Times New Roman"/>
          <w:sz w:val="24"/>
          <w:szCs w:val="24"/>
        </w:rPr>
        <w:t xml:space="preserve">arto </w:t>
      </w:r>
      <w:r w:rsidR="00136C8C">
        <w:rPr>
          <w:rFonts w:ascii="Times New Roman" w:hAnsi="Times New Roman" w:cs="Times New Roman"/>
          <w:sz w:val="24"/>
          <w:szCs w:val="24"/>
        </w:rPr>
        <w:t>podkreślić</w:t>
      </w:r>
      <w:r w:rsidR="00A8077C">
        <w:rPr>
          <w:rFonts w:ascii="Times New Roman" w:hAnsi="Times New Roman" w:cs="Times New Roman"/>
          <w:sz w:val="24"/>
          <w:szCs w:val="24"/>
        </w:rPr>
        <w:t>, że w</w:t>
      </w:r>
      <w:r w:rsidRPr="00B824AA">
        <w:rPr>
          <w:rFonts w:ascii="Times New Roman" w:hAnsi="Times New Roman" w:cs="Times New Roman"/>
          <w:sz w:val="24"/>
          <w:szCs w:val="24"/>
        </w:rPr>
        <w:t xml:space="preserve"> porównaniu do 2010 r. wartość wskaźnika spadła</w:t>
      </w:r>
      <w:r w:rsidR="00A8077C">
        <w:rPr>
          <w:rFonts w:ascii="Times New Roman" w:hAnsi="Times New Roman" w:cs="Times New Roman"/>
          <w:sz w:val="24"/>
          <w:szCs w:val="24"/>
        </w:rPr>
        <w:t xml:space="preserve"> w 202</w:t>
      </w:r>
      <w:r w:rsidR="00136C8C">
        <w:rPr>
          <w:rFonts w:ascii="Times New Roman" w:hAnsi="Times New Roman" w:cs="Times New Roman"/>
          <w:sz w:val="24"/>
          <w:szCs w:val="24"/>
        </w:rPr>
        <w:t>2</w:t>
      </w:r>
      <w:r w:rsidR="00A8077C">
        <w:rPr>
          <w:rFonts w:ascii="Times New Roman" w:hAnsi="Times New Roman" w:cs="Times New Roman"/>
          <w:sz w:val="24"/>
          <w:szCs w:val="24"/>
        </w:rPr>
        <w:t xml:space="preserve"> r.</w:t>
      </w:r>
      <w:r w:rsidRPr="00B824AA">
        <w:rPr>
          <w:rFonts w:ascii="Times New Roman" w:hAnsi="Times New Roman" w:cs="Times New Roman"/>
          <w:sz w:val="24"/>
          <w:szCs w:val="24"/>
        </w:rPr>
        <w:t xml:space="preserve"> o </w:t>
      </w:r>
      <w:r w:rsidR="00136C8C">
        <w:rPr>
          <w:rFonts w:ascii="Times New Roman" w:hAnsi="Times New Roman" w:cs="Times New Roman"/>
          <w:sz w:val="24"/>
          <w:szCs w:val="24"/>
        </w:rPr>
        <w:t>16</w:t>
      </w:r>
      <w:r w:rsidRPr="00B824AA">
        <w:rPr>
          <w:rFonts w:ascii="Times New Roman" w:hAnsi="Times New Roman" w:cs="Times New Roman"/>
          <w:sz w:val="24"/>
          <w:szCs w:val="24"/>
        </w:rPr>
        <w:t xml:space="preserve"> punktów procentowych. Relacja wartości odpadów </w:t>
      </w:r>
      <w:r w:rsidRPr="00B824AA">
        <w:rPr>
          <w:rFonts w:ascii="Times New Roman" w:hAnsi="Times New Roman" w:cs="Times New Roman"/>
          <w:sz w:val="24"/>
          <w:szCs w:val="24"/>
        </w:rPr>
        <w:lastRenderedPageBreak/>
        <w:t>komunalnych na mieszkańca w Polsce jest bardzie</w:t>
      </w:r>
      <w:r w:rsidR="00A8077C">
        <w:rPr>
          <w:rFonts w:ascii="Times New Roman" w:hAnsi="Times New Roman" w:cs="Times New Roman"/>
          <w:sz w:val="24"/>
          <w:szCs w:val="24"/>
        </w:rPr>
        <w:t>j</w:t>
      </w:r>
      <w:r w:rsidRPr="00B824AA">
        <w:rPr>
          <w:rFonts w:ascii="Times New Roman" w:hAnsi="Times New Roman" w:cs="Times New Roman"/>
          <w:sz w:val="24"/>
          <w:szCs w:val="24"/>
        </w:rPr>
        <w:t xml:space="preserve"> korzystna w przypadku krajów </w:t>
      </w:r>
      <w:r w:rsidR="00A8077C">
        <w:rPr>
          <w:rFonts w:ascii="Times New Roman" w:hAnsi="Times New Roman" w:cs="Times New Roman"/>
          <w:sz w:val="24"/>
          <w:szCs w:val="24"/>
        </w:rPr>
        <w:t>UE 14</w:t>
      </w:r>
      <w:r w:rsidR="00136C8C">
        <w:rPr>
          <w:rFonts w:ascii="Times New Roman" w:hAnsi="Times New Roman" w:cs="Times New Roman"/>
          <w:sz w:val="24"/>
          <w:szCs w:val="24"/>
        </w:rPr>
        <w:t xml:space="preserve"> (147 procent)</w:t>
      </w:r>
      <w:r w:rsidRPr="00B824AA">
        <w:rPr>
          <w:rFonts w:ascii="Times New Roman" w:hAnsi="Times New Roman" w:cs="Times New Roman"/>
          <w:sz w:val="24"/>
          <w:szCs w:val="24"/>
        </w:rPr>
        <w:t xml:space="preserve">, niż w przypadku krajów </w:t>
      </w:r>
      <w:r w:rsidR="00A8077C">
        <w:rPr>
          <w:rFonts w:ascii="Times New Roman" w:hAnsi="Times New Roman" w:cs="Times New Roman"/>
          <w:sz w:val="24"/>
          <w:szCs w:val="24"/>
        </w:rPr>
        <w:t>UE 13</w:t>
      </w:r>
      <w:r w:rsidR="00136C8C">
        <w:rPr>
          <w:rFonts w:ascii="Times New Roman" w:hAnsi="Times New Roman" w:cs="Times New Roman"/>
          <w:sz w:val="24"/>
          <w:szCs w:val="24"/>
        </w:rPr>
        <w:t xml:space="preserve"> (</w:t>
      </w:r>
      <w:r w:rsidR="008C590B">
        <w:rPr>
          <w:rFonts w:ascii="Times New Roman" w:hAnsi="Times New Roman" w:cs="Times New Roman"/>
          <w:sz w:val="24"/>
          <w:szCs w:val="24"/>
        </w:rPr>
        <w:t xml:space="preserve">107 procent). W 2022 r. pogorszenie odnotowano w relacji do krajów UE 14 (spadek o </w:t>
      </w:r>
      <w:r w:rsidR="005F7FC6">
        <w:rPr>
          <w:rFonts w:ascii="Times New Roman" w:hAnsi="Times New Roman" w:cs="Times New Roman"/>
          <w:sz w:val="24"/>
          <w:szCs w:val="24"/>
        </w:rPr>
        <w:t>6 punktów procentowych), w relacji do krajów UE 13 wskaźnik się nie zmienił</w:t>
      </w:r>
      <w:r w:rsidRPr="00B824AA">
        <w:rPr>
          <w:rFonts w:ascii="Times New Roman" w:hAnsi="Times New Roman" w:cs="Times New Roman"/>
          <w:sz w:val="24"/>
          <w:szCs w:val="24"/>
        </w:rPr>
        <w:t xml:space="preserve">. </w:t>
      </w:r>
    </w:p>
    <w:p w14:paraId="5F7BC3CF" w14:textId="12C1F74A" w:rsidR="00534A2E" w:rsidRPr="00B824AA" w:rsidRDefault="00534A2E" w:rsidP="004A78B3">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Drugi wskaźnik w </w:t>
      </w:r>
      <w:r w:rsidR="00B97BE1">
        <w:rPr>
          <w:rFonts w:ascii="Times New Roman" w:hAnsi="Times New Roman" w:cs="Times New Roman"/>
          <w:sz w:val="24"/>
          <w:szCs w:val="24"/>
        </w:rPr>
        <w:t>wymiarze</w:t>
      </w:r>
      <w:r w:rsidRPr="00B824AA">
        <w:rPr>
          <w:rFonts w:ascii="Times New Roman" w:hAnsi="Times New Roman" w:cs="Times New Roman"/>
          <w:sz w:val="24"/>
          <w:szCs w:val="24"/>
        </w:rPr>
        <w:t xml:space="preserve"> ochrona środowiska odnosi się do oczyszczania ścieków, i mierzy on odsetek ludności podłączonej do co najmniej wtórnego oczyszczania ścieków. W przypadku tego wskaźnika obserwujem</w:t>
      </w:r>
      <w:r w:rsidR="00DC1967">
        <w:rPr>
          <w:rFonts w:ascii="Times New Roman" w:hAnsi="Times New Roman" w:cs="Times New Roman"/>
          <w:sz w:val="24"/>
          <w:szCs w:val="24"/>
        </w:rPr>
        <w:t xml:space="preserve">y skokową poprawę wskaźnika w 2021 r, ale jego ponowne pogorszenie </w:t>
      </w:r>
      <w:r w:rsidR="00665DE6">
        <w:rPr>
          <w:rFonts w:ascii="Times New Roman" w:hAnsi="Times New Roman" w:cs="Times New Roman"/>
          <w:sz w:val="24"/>
          <w:szCs w:val="24"/>
        </w:rPr>
        <w:t xml:space="preserve">w 2022 r., </w:t>
      </w:r>
      <w:r w:rsidR="00382D9D">
        <w:rPr>
          <w:rFonts w:ascii="Times New Roman" w:hAnsi="Times New Roman" w:cs="Times New Roman"/>
          <w:sz w:val="24"/>
          <w:szCs w:val="24"/>
        </w:rPr>
        <w:t xml:space="preserve">kiedy wyniósł 90 procent (o 5 punktów procentowych lepiej niż w 2010 r.). </w:t>
      </w:r>
      <w:r w:rsidR="005D09AE">
        <w:rPr>
          <w:rFonts w:ascii="Times New Roman" w:hAnsi="Times New Roman" w:cs="Times New Roman"/>
          <w:sz w:val="24"/>
          <w:szCs w:val="24"/>
        </w:rPr>
        <w:t xml:space="preserve">W 2022 r. dystans Polski </w:t>
      </w:r>
      <w:r w:rsidRPr="00B824AA">
        <w:rPr>
          <w:rFonts w:ascii="Times New Roman" w:hAnsi="Times New Roman" w:cs="Times New Roman"/>
          <w:sz w:val="24"/>
          <w:szCs w:val="24"/>
        </w:rPr>
        <w:t xml:space="preserve">w odniesieniu do krajów </w:t>
      </w:r>
      <w:r w:rsidR="0034326F">
        <w:rPr>
          <w:rFonts w:ascii="Times New Roman" w:hAnsi="Times New Roman" w:cs="Times New Roman"/>
          <w:sz w:val="24"/>
          <w:szCs w:val="24"/>
        </w:rPr>
        <w:t>UE 14</w:t>
      </w:r>
      <w:r w:rsidR="005D09AE">
        <w:rPr>
          <w:rFonts w:ascii="Times New Roman" w:hAnsi="Times New Roman" w:cs="Times New Roman"/>
          <w:sz w:val="24"/>
          <w:szCs w:val="24"/>
        </w:rPr>
        <w:t xml:space="preserve"> wyniósł </w:t>
      </w:r>
      <w:r w:rsidR="00E43697">
        <w:rPr>
          <w:rFonts w:ascii="Times New Roman" w:hAnsi="Times New Roman" w:cs="Times New Roman"/>
          <w:sz w:val="24"/>
          <w:szCs w:val="24"/>
        </w:rPr>
        <w:t>15 punktów procentowych</w:t>
      </w:r>
      <w:r w:rsidRPr="00B824AA">
        <w:rPr>
          <w:rFonts w:ascii="Times New Roman" w:hAnsi="Times New Roman" w:cs="Times New Roman"/>
          <w:sz w:val="24"/>
          <w:szCs w:val="24"/>
        </w:rPr>
        <w:t xml:space="preserve">, natomiast </w:t>
      </w:r>
      <w:r w:rsidR="00E43697">
        <w:rPr>
          <w:rFonts w:ascii="Times New Roman" w:hAnsi="Times New Roman" w:cs="Times New Roman"/>
          <w:sz w:val="24"/>
          <w:szCs w:val="24"/>
        </w:rPr>
        <w:t xml:space="preserve">sytuacja w Polsce jest o 8 punktów procentowych lepsza niż w </w:t>
      </w:r>
      <w:r w:rsidRPr="00B824AA">
        <w:rPr>
          <w:rFonts w:ascii="Times New Roman" w:hAnsi="Times New Roman" w:cs="Times New Roman"/>
          <w:sz w:val="24"/>
          <w:szCs w:val="24"/>
        </w:rPr>
        <w:t>kra</w:t>
      </w:r>
      <w:r w:rsidR="00E43697">
        <w:rPr>
          <w:rFonts w:ascii="Times New Roman" w:hAnsi="Times New Roman" w:cs="Times New Roman"/>
          <w:sz w:val="24"/>
          <w:szCs w:val="24"/>
        </w:rPr>
        <w:t>jach</w:t>
      </w:r>
      <w:r w:rsidRPr="00B824AA">
        <w:rPr>
          <w:rFonts w:ascii="Times New Roman" w:hAnsi="Times New Roman" w:cs="Times New Roman"/>
          <w:sz w:val="24"/>
          <w:szCs w:val="24"/>
        </w:rPr>
        <w:t xml:space="preserve"> </w:t>
      </w:r>
      <w:r w:rsidR="0034326F">
        <w:rPr>
          <w:rFonts w:ascii="Times New Roman" w:hAnsi="Times New Roman" w:cs="Times New Roman"/>
          <w:sz w:val="24"/>
          <w:szCs w:val="24"/>
        </w:rPr>
        <w:t>UE 13</w:t>
      </w:r>
      <w:r w:rsidRPr="00B824AA">
        <w:rPr>
          <w:rFonts w:ascii="Times New Roman" w:hAnsi="Times New Roman" w:cs="Times New Roman"/>
          <w:sz w:val="24"/>
          <w:szCs w:val="24"/>
        </w:rPr>
        <w:t xml:space="preserve"> do Polski.</w:t>
      </w:r>
      <w:r w:rsidR="004A78B3">
        <w:rPr>
          <w:rFonts w:ascii="Times New Roman" w:hAnsi="Times New Roman" w:cs="Times New Roman"/>
          <w:sz w:val="24"/>
          <w:szCs w:val="24"/>
        </w:rPr>
        <w:t xml:space="preserve"> Warto podkreślić, że ilość</w:t>
      </w:r>
      <w:r w:rsidR="004A78B3" w:rsidRPr="004A78B3">
        <w:rPr>
          <w:rFonts w:ascii="Times New Roman" w:hAnsi="Times New Roman" w:cs="Times New Roman"/>
          <w:sz w:val="24"/>
          <w:szCs w:val="24"/>
        </w:rPr>
        <w:t xml:space="preserve"> oczyszczalni przemysłowych</w:t>
      </w:r>
      <w:r w:rsidR="004A78B3">
        <w:rPr>
          <w:rFonts w:ascii="Times New Roman" w:hAnsi="Times New Roman" w:cs="Times New Roman"/>
          <w:sz w:val="24"/>
          <w:szCs w:val="24"/>
        </w:rPr>
        <w:t xml:space="preserve"> spadła</w:t>
      </w:r>
      <w:r w:rsidR="004A78B3" w:rsidRPr="004A78B3">
        <w:rPr>
          <w:rFonts w:ascii="Times New Roman" w:hAnsi="Times New Roman" w:cs="Times New Roman"/>
          <w:sz w:val="24"/>
          <w:szCs w:val="24"/>
        </w:rPr>
        <w:t xml:space="preserve"> z 876 w 2020 roku do 851 w 2021 roku. </w:t>
      </w:r>
      <w:r w:rsidR="004A78B3">
        <w:rPr>
          <w:rFonts w:ascii="Times New Roman" w:hAnsi="Times New Roman" w:cs="Times New Roman"/>
          <w:sz w:val="24"/>
          <w:szCs w:val="24"/>
        </w:rPr>
        <w:t>Ilość</w:t>
      </w:r>
      <w:r w:rsidR="004A78B3" w:rsidRPr="004A78B3">
        <w:rPr>
          <w:rFonts w:ascii="Times New Roman" w:hAnsi="Times New Roman" w:cs="Times New Roman"/>
          <w:sz w:val="24"/>
          <w:szCs w:val="24"/>
        </w:rPr>
        <w:t xml:space="preserve"> oczyszczalni ścieków komunalnych wynosiła 3</w:t>
      </w:r>
      <w:r w:rsidR="004A78B3">
        <w:rPr>
          <w:rFonts w:ascii="Times New Roman" w:hAnsi="Times New Roman" w:cs="Times New Roman"/>
          <w:sz w:val="24"/>
          <w:szCs w:val="24"/>
        </w:rPr>
        <w:t> </w:t>
      </w:r>
      <w:r w:rsidR="004A78B3" w:rsidRPr="004A78B3">
        <w:rPr>
          <w:rFonts w:ascii="Times New Roman" w:hAnsi="Times New Roman" w:cs="Times New Roman"/>
          <w:sz w:val="24"/>
          <w:szCs w:val="24"/>
        </w:rPr>
        <w:t xml:space="preserve">276, co </w:t>
      </w:r>
      <w:r w:rsidR="004A78B3">
        <w:rPr>
          <w:rFonts w:ascii="Times New Roman" w:hAnsi="Times New Roman" w:cs="Times New Roman"/>
          <w:sz w:val="24"/>
          <w:szCs w:val="24"/>
        </w:rPr>
        <w:t xml:space="preserve">także </w:t>
      </w:r>
      <w:r w:rsidR="004A78B3" w:rsidRPr="004A78B3">
        <w:rPr>
          <w:rFonts w:ascii="Times New Roman" w:hAnsi="Times New Roman" w:cs="Times New Roman"/>
          <w:sz w:val="24"/>
          <w:szCs w:val="24"/>
        </w:rPr>
        <w:t xml:space="preserve">stanowi spadek w porównaniu z rokiem </w:t>
      </w:r>
      <w:r w:rsidR="004A78B3">
        <w:rPr>
          <w:rFonts w:ascii="Times New Roman" w:hAnsi="Times New Roman" w:cs="Times New Roman"/>
          <w:sz w:val="24"/>
          <w:szCs w:val="24"/>
        </w:rPr>
        <w:t>poprzednim</w:t>
      </w:r>
      <w:r w:rsidR="004A78B3" w:rsidRPr="004A78B3">
        <w:rPr>
          <w:rFonts w:ascii="Times New Roman" w:hAnsi="Times New Roman" w:cs="Times New Roman"/>
          <w:sz w:val="24"/>
          <w:szCs w:val="24"/>
        </w:rPr>
        <w:t xml:space="preserve"> (3</w:t>
      </w:r>
      <w:r w:rsidR="004A78B3">
        <w:rPr>
          <w:rFonts w:ascii="Times New Roman" w:hAnsi="Times New Roman" w:cs="Times New Roman"/>
          <w:sz w:val="24"/>
          <w:szCs w:val="24"/>
        </w:rPr>
        <w:t> </w:t>
      </w:r>
      <w:r w:rsidR="004A78B3" w:rsidRPr="004A78B3">
        <w:rPr>
          <w:rFonts w:ascii="Times New Roman" w:hAnsi="Times New Roman" w:cs="Times New Roman"/>
          <w:sz w:val="24"/>
          <w:szCs w:val="24"/>
        </w:rPr>
        <w:t>281)</w:t>
      </w:r>
      <w:r w:rsidR="004A78B3">
        <w:rPr>
          <w:rFonts w:ascii="Times New Roman" w:hAnsi="Times New Roman" w:cs="Times New Roman"/>
          <w:sz w:val="24"/>
          <w:szCs w:val="24"/>
        </w:rPr>
        <w:t xml:space="preserve">. </w:t>
      </w:r>
      <w:r w:rsidR="004A78B3" w:rsidRPr="004A78B3">
        <w:rPr>
          <w:rFonts w:ascii="Times New Roman" w:hAnsi="Times New Roman" w:cs="Times New Roman"/>
          <w:sz w:val="24"/>
          <w:szCs w:val="24"/>
        </w:rPr>
        <w:t>Udział ludności korzystającej z oczyszczalni ścieków w 2021 roku wynosił 75%, przy czym w miastach wynosił około 95%, a na wsiach 46%.</w:t>
      </w:r>
    </w:p>
    <w:p w14:paraId="2A13CE3E" w14:textId="64489FE9"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Trzeci wskaźnik w tym </w:t>
      </w:r>
      <w:r w:rsidR="0034326F">
        <w:rPr>
          <w:rFonts w:ascii="Times New Roman" w:hAnsi="Times New Roman" w:cs="Times New Roman"/>
          <w:sz w:val="24"/>
          <w:szCs w:val="24"/>
        </w:rPr>
        <w:t>wymiarze</w:t>
      </w:r>
      <w:r w:rsidRPr="00B824AA">
        <w:rPr>
          <w:rFonts w:ascii="Times New Roman" w:hAnsi="Times New Roman" w:cs="Times New Roman"/>
          <w:sz w:val="24"/>
          <w:szCs w:val="24"/>
        </w:rPr>
        <w:t xml:space="preserve"> odnosi się do produkcji energii odnawialnej</w:t>
      </w:r>
      <w:r w:rsidR="0034326F">
        <w:rPr>
          <w:rFonts w:ascii="Times New Roman" w:hAnsi="Times New Roman" w:cs="Times New Roman"/>
          <w:sz w:val="24"/>
          <w:szCs w:val="24"/>
        </w:rPr>
        <w:t>. Jest to u</w:t>
      </w:r>
      <w:r w:rsidRPr="00B824AA">
        <w:rPr>
          <w:rFonts w:ascii="Times New Roman" w:hAnsi="Times New Roman" w:cs="Times New Roman"/>
          <w:sz w:val="24"/>
          <w:szCs w:val="24"/>
        </w:rPr>
        <w:t xml:space="preserve">dział odnawialnych źródeł energii: biomasy, energii geotermalnej wiatrowej w wytwarzaniu energii elektrycznej, wyrażony w procentach. Ten wskaźnik </w:t>
      </w:r>
      <w:r w:rsidR="00291F77">
        <w:rPr>
          <w:rFonts w:ascii="Times New Roman" w:hAnsi="Times New Roman" w:cs="Times New Roman"/>
          <w:sz w:val="24"/>
          <w:szCs w:val="24"/>
        </w:rPr>
        <w:t xml:space="preserve">służy również do </w:t>
      </w:r>
      <w:r w:rsidRPr="00B824AA">
        <w:rPr>
          <w:rFonts w:ascii="Times New Roman" w:hAnsi="Times New Roman" w:cs="Times New Roman"/>
          <w:sz w:val="24"/>
          <w:szCs w:val="24"/>
        </w:rPr>
        <w:t xml:space="preserve">monitorowania postępów w osiąganiu celów w zakresie energii odnawialnej strategii Europa 2020 wdrażanej dyrektywą 2009/28/WE w sprawie promowania stosowania energii ze źródeł odnawialnych. </w:t>
      </w:r>
      <w:r w:rsidR="00291F77">
        <w:rPr>
          <w:rFonts w:ascii="Times New Roman" w:hAnsi="Times New Roman" w:cs="Times New Roman"/>
          <w:sz w:val="24"/>
          <w:szCs w:val="24"/>
        </w:rPr>
        <w:t>Relatywne w</w:t>
      </w:r>
      <w:r w:rsidRPr="00291F77">
        <w:rPr>
          <w:rFonts w:ascii="Times New Roman" w:hAnsi="Times New Roman" w:cs="Times New Roman"/>
          <w:sz w:val="24"/>
          <w:szCs w:val="24"/>
        </w:rPr>
        <w:t xml:space="preserve">artości wskaźnika </w:t>
      </w:r>
      <w:proofErr w:type="spellStart"/>
      <w:r w:rsidR="009B2D4F">
        <w:rPr>
          <w:rFonts w:ascii="Times New Roman" w:hAnsi="Times New Roman" w:cs="Times New Roman"/>
          <w:i/>
          <w:iCs/>
          <w:sz w:val="24"/>
          <w:szCs w:val="24"/>
        </w:rPr>
        <w:t>catch-up</w:t>
      </w:r>
      <w:proofErr w:type="spellEnd"/>
      <w:r w:rsidR="00291F77">
        <w:rPr>
          <w:rFonts w:ascii="Times New Roman" w:hAnsi="Times New Roman" w:cs="Times New Roman"/>
          <w:i/>
          <w:iCs/>
          <w:sz w:val="24"/>
          <w:szCs w:val="24"/>
        </w:rPr>
        <w:t xml:space="preserve"> </w:t>
      </w:r>
      <w:r w:rsidRPr="00291F77">
        <w:rPr>
          <w:rFonts w:ascii="Times New Roman" w:hAnsi="Times New Roman" w:cs="Times New Roman"/>
          <w:sz w:val="24"/>
          <w:szCs w:val="24"/>
        </w:rPr>
        <w:t>wskazują na stopniowe zmniejszanie dystansu Polski do krajów UE 2</w:t>
      </w:r>
      <w:r w:rsidR="00291F77">
        <w:rPr>
          <w:rFonts w:ascii="Times New Roman" w:hAnsi="Times New Roman" w:cs="Times New Roman"/>
          <w:sz w:val="24"/>
          <w:szCs w:val="24"/>
        </w:rPr>
        <w:t xml:space="preserve">7 od 2010 r. </w:t>
      </w:r>
      <w:r w:rsidR="00434846">
        <w:rPr>
          <w:rFonts w:ascii="Times New Roman" w:hAnsi="Times New Roman" w:cs="Times New Roman"/>
          <w:sz w:val="24"/>
          <w:szCs w:val="24"/>
        </w:rPr>
        <w:t xml:space="preserve">W </w:t>
      </w:r>
      <w:r w:rsidR="00291F77">
        <w:rPr>
          <w:rFonts w:ascii="Times New Roman" w:hAnsi="Times New Roman" w:cs="Times New Roman"/>
          <w:sz w:val="24"/>
          <w:szCs w:val="24"/>
        </w:rPr>
        <w:t>202</w:t>
      </w:r>
      <w:r w:rsidR="00434846">
        <w:rPr>
          <w:rFonts w:ascii="Times New Roman" w:hAnsi="Times New Roman" w:cs="Times New Roman"/>
          <w:sz w:val="24"/>
          <w:szCs w:val="24"/>
        </w:rPr>
        <w:t>2</w:t>
      </w:r>
      <w:r w:rsidR="00291F77">
        <w:rPr>
          <w:rFonts w:ascii="Times New Roman" w:hAnsi="Times New Roman" w:cs="Times New Roman"/>
          <w:sz w:val="24"/>
          <w:szCs w:val="24"/>
        </w:rPr>
        <w:t xml:space="preserve"> r. wartość </w:t>
      </w:r>
      <w:r w:rsidR="00434846">
        <w:rPr>
          <w:rFonts w:ascii="Times New Roman" w:hAnsi="Times New Roman" w:cs="Times New Roman"/>
          <w:sz w:val="24"/>
          <w:szCs w:val="24"/>
        </w:rPr>
        <w:t xml:space="preserve">tego </w:t>
      </w:r>
      <w:r w:rsidR="00291F77">
        <w:rPr>
          <w:rFonts w:ascii="Times New Roman" w:hAnsi="Times New Roman" w:cs="Times New Roman"/>
          <w:sz w:val="24"/>
          <w:szCs w:val="24"/>
        </w:rPr>
        <w:t xml:space="preserve">wskaźnika </w:t>
      </w:r>
      <w:r w:rsidR="00434846">
        <w:rPr>
          <w:rFonts w:ascii="Times New Roman" w:hAnsi="Times New Roman" w:cs="Times New Roman"/>
          <w:sz w:val="24"/>
          <w:szCs w:val="24"/>
        </w:rPr>
        <w:t xml:space="preserve">wynosiła 76 procent i była wyższa o </w:t>
      </w:r>
      <w:r w:rsidR="002C0C4E">
        <w:rPr>
          <w:rFonts w:ascii="Times New Roman" w:hAnsi="Times New Roman" w:cs="Times New Roman"/>
          <w:sz w:val="24"/>
          <w:szCs w:val="24"/>
        </w:rPr>
        <w:t>2 punkty procentowe niż rok wcześniej</w:t>
      </w:r>
      <w:r w:rsidR="00291F77">
        <w:rPr>
          <w:rFonts w:ascii="Times New Roman" w:hAnsi="Times New Roman" w:cs="Times New Roman"/>
          <w:sz w:val="24"/>
          <w:szCs w:val="24"/>
        </w:rPr>
        <w:t xml:space="preserve">. </w:t>
      </w:r>
      <w:r w:rsidRPr="00B824AA">
        <w:rPr>
          <w:rFonts w:ascii="Times New Roman" w:hAnsi="Times New Roman" w:cs="Times New Roman"/>
          <w:sz w:val="24"/>
          <w:szCs w:val="24"/>
        </w:rPr>
        <w:t>Dystans Polski</w:t>
      </w:r>
      <w:r w:rsidR="002C0C4E">
        <w:rPr>
          <w:rFonts w:ascii="Times New Roman" w:hAnsi="Times New Roman" w:cs="Times New Roman"/>
          <w:sz w:val="24"/>
          <w:szCs w:val="24"/>
        </w:rPr>
        <w:t xml:space="preserve"> w 2022 r. był </w:t>
      </w:r>
      <w:r w:rsidR="00291F77">
        <w:rPr>
          <w:rFonts w:ascii="Times New Roman" w:hAnsi="Times New Roman" w:cs="Times New Roman"/>
          <w:sz w:val="24"/>
          <w:szCs w:val="24"/>
        </w:rPr>
        <w:t xml:space="preserve">wyższy do krajów UE 14 </w:t>
      </w:r>
      <w:r w:rsidR="002C0C4E">
        <w:rPr>
          <w:rFonts w:ascii="Times New Roman" w:hAnsi="Times New Roman" w:cs="Times New Roman"/>
          <w:sz w:val="24"/>
          <w:szCs w:val="24"/>
        </w:rPr>
        <w:t xml:space="preserve">(26 procent) </w:t>
      </w:r>
      <w:r w:rsidR="00291F77">
        <w:rPr>
          <w:rFonts w:ascii="Times New Roman" w:hAnsi="Times New Roman" w:cs="Times New Roman"/>
          <w:sz w:val="24"/>
          <w:szCs w:val="24"/>
        </w:rPr>
        <w:t>niż do krajów UE 13</w:t>
      </w:r>
      <w:r w:rsidR="002C0C4E">
        <w:rPr>
          <w:rFonts w:ascii="Times New Roman" w:hAnsi="Times New Roman" w:cs="Times New Roman"/>
          <w:sz w:val="24"/>
          <w:szCs w:val="24"/>
        </w:rPr>
        <w:t xml:space="preserve"> (16 procent)</w:t>
      </w:r>
      <w:r w:rsidR="00291F77">
        <w:rPr>
          <w:rFonts w:ascii="Times New Roman" w:hAnsi="Times New Roman" w:cs="Times New Roman"/>
          <w:sz w:val="24"/>
          <w:szCs w:val="24"/>
        </w:rPr>
        <w:t>.</w:t>
      </w:r>
      <w:r w:rsidRPr="00B824AA">
        <w:rPr>
          <w:rFonts w:ascii="Times New Roman" w:hAnsi="Times New Roman" w:cs="Times New Roman"/>
          <w:sz w:val="24"/>
          <w:szCs w:val="24"/>
        </w:rPr>
        <w:t xml:space="preserve"> </w:t>
      </w:r>
    </w:p>
    <w:p w14:paraId="54DBE588" w14:textId="58964DC9"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Kolejnym, czwartym, wskaźnikiem uwzględnionym w </w:t>
      </w:r>
      <w:r w:rsidR="00FF43F6">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jest emisja cząstek stałych, któr</w:t>
      </w:r>
      <w:r w:rsidR="00FF43F6">
        <w:rPr>
          <w:rFonts w:ascii="Times New Roman" w:hAnsi="Times New Roman" w:cs="Times New Roman"/>
          <w:sz w:val="24"/>
          <w:szCs w:val="24"/>
        </w:rPr>
        <w:t>a</w:t>
      </w:r>
      <w:r w:rsidRPr="00B824AA">
        <w:rPr>
          <w:rFonts w:ascii="Times New Roman" w:hAnsi="Times New Roman" w:cs="Times New Roman"/>
          <w:sz w:val="24"/>
          <w:szCs w:val="24"/>
        </w:rPr>
        <w:t xml:space="preserve"> obliczon</w:t>
      </w:r>
      <w:r w:rsidR="00FF43F6">
        <w:rPr>
          <w:rFonts w:ascii="Times New Roman" w:hAnsi="Times New Roman" w:cs="Times New Roman"/>
          <w:sz w:val="24"/>
          <w:szCs w:val="24"/>
        </w:rPr>
        <w:t>a</w:t>
      </w:r>
      <w:r w:rsidRPr="00B824AA">
        <w:rPr>
          <w:rFonts w:ascii="Times New Roman" w:hAnsi="Times New Roman" w:cs="Times New Roman"/>
          <w:sz w:val="24"/>
          <w:szCs w:val="24"/>
        </w:rPr>
        <w:t xml:space="preserve"> jest na podstawie ważonego populacyjnie średnie roczne</w:t>
      </w:r>
      <w:r w:rsidR="00FF43F6">
        <w:rPr>
          <w:rFonts w:ascii="Times New Roman" w:hAnsi="Times New Roman" w:cs="Times New Roman"/>
          <w:sz w:val="24"/>
          <w:szCs w:val="24"/>
        </w:rPr>
        <w:t>go</w:t>
      </w:r>
      <w:r w:rsidRPr="00B824AA">
        <w:rPr>
          <w:rFonts w:ascii="Times New Roman" w:hAnsi="Times New Roman" w:cs="Times New Roman"/>
          <w:sz w:val="24"/>
          <w:szCs w:val="24"/>
        </w:rPr>
        <w:t xml:space="preserve"> stężeni</w:t>
      </w:r>
      <w:r w:rsidR="00FF43F6">
        <w:rPr>
          <w:rFonts w:ascii="Times New Roman" w:hAnsi="Times New Roman" w:cs="Times New Roman"/>
          <w:sz w:val="24"/>
          <w:szCs w:val="24"/>
        </w:rPr>
        <w:t>a</w:t>
      </w:r>
      <w:r w:rsidRPr="00B824AA">
        <w:rPr>
          <w:rFonts w:ascii="Times New Roman" w:hAnsi="Times New Roman" w:cs="Times New Roman"/>
          <w:sz w:val="24"/>
          <w:szCs w:val="24"/>
        </w:rPr>
        <w:t xml:space="preserve"> pyłu zawieszonego na stacjach tła miejskiego w aglomeracjach w µg/m3. W tym zakresie Polska znacząco odstaje od krajów UE 2</w:t>
      </w:r>
      <w:r w:rsidR="00FF43F6">
        <w:rPr>
          <w:rFonts w:ascii="Times New Roman" w:hAnsi="Times New Roman" w:cs="Times New Roman"/>
          <w:sz w:val="24"/>
          <w:szCs w:val="24"/>
        </w:rPr>
        <w:t>7</w:t>
      </w:r>
      <w:r w:rsidRPr="00B824AA">
        <w:rPr>
          <w:rFonts w:ascii="Times New Roman" w:hAnsi="Times New Roman" w:cs="Times New Roman"/>
          <w:sz w:val="24"/>
          <w:szCs w:val="24"/>
        </w:rPr>
        <w:t xml:space="preserve">. W 2020 r. wartość wskaźnika wyniosła 52 procent, co oznacza że emisja cząstek stałych w Polsce w przeliczeniu jest niemal dwukrotnie wyższa. Od 2010 r. </w:t>
      </w:r>
      <w:r w:rsidR="00041632">
        <w:rPr>
          <w:rFonts w:ascii="Times New Roman" w:hAnsi="Times New Roman" w:cs="Times New Roman"/>
          <w:sz w:val="24"/>
          <w:szCs w:val="24"/>
        </w:rPr>
        <w:t xml:space="preserve">do 2020 r. </w:t>
      </w:r>
      <w:r w:rsidRPr="00B824AA">
        <w:rPr>
          <w:rFonts w:ascii="Times New Roman" w:hAnsi="Times New Roman" w:cs="Times New Roman"/>
          <w:sz w:val="24"/>
          <w:szCs w:val="24"/>
        </w:rPr>
        <w:t xml:space="preserve">wskaźnik poprawił się o 6 punktów procentowych. Luka, która dzieli Polskę od krajów </w:t>
      </w:r>
      <w:r w:rsidR="00FF43F6">
        <w:rPr>
          <w:rFonts w:ascii="Times New Roman" w:hAnsi="Times New Roman" w:cs="Times New Roman"/>
          <w:sz w:val="24"/>
          <w:szCs w:val="24"/>
        </w:rPr>
        <w:t xml:space="preserve">UE 14 </w:t>
      </w:r>
      <w:r w:rsidRPr="00B824AA">
        <w:rPr>
          <w:rFonts w:ascii="Times New Roman" w:hAnsi="Times New Roman" w:cs="Times New Roman"/>
          <w:sz w:val="24"/>
          <w:szCs w:val="24"/>
        </w:rPr>
        <w:t xml:space="preserve">jest wyższa niż w przypadku krajów </w:t>
      </w:r>
      <w:r w:rsidR="00FF43F6">
        <w:rPr>
          <w:rFonts w:ascii="Times New Roman" w:hAnsi="Times New Roman" w:cs="Times New Roman"/>
          <w:sz w:val="24"/>
          <w:szCs w:val="24"/>
        </w:rPr>
        <w:t>UE 13</w:t>
      </w:r>
      <w:r w:rsidRPr="00B824AA">
        <w:rPr>
          <w:rFonts w:ascii="Times New Roman" w:hAnsi="Times New Roman" w:cs="Times New Roman"/>
          <w:sz w:val="24"/>
          <w:szCs w:val="24"/>
        </w:rPr>
        <w:t xml:space="preserve">, jednak dla obu grup krajów jest to znaczący dystans. </w:t>
      </w:r>
      <w:r w:rsidR="00041632">
        <w:rPr>
          <w:rFonts w:ascii="Times New Roman" w:hAnsi="Times New Roman" w:cs="Times New Roman"/>
          <w:sz w:val="24"/>
          <w:szCs w:val="24"/>
        </w:rPr>
        <w:t>Wskaźnik ten nie jest raportowany przez Eurostat dla lat 2021 i 2022.</w:t>
      </w:r>
    </w:p>
    <w:p w14:paraId="1301776A" w14:textId="431451A1" w:rsidR="00534A2E" w:rsidRPr="00B824AA" w:rsidRDefault="00534A2E" w:rsidP="00534A2E">
      <w:pPr>
        <w:tabs>
          <w:tab w:val="left" w:pos="2835"/>
        </w:tabs>
        <w:spacing w:line="360" w:lineRule="auto"/>
        <w:jc w:val="both"/>
        <w:rPr>
          <w:rFonts w:ascii="Times New Roman" w:hAnsi="Times New Roman" w:cs="Times New Roman"/>
          <w:sz w:val="24"/>
          <w:szCs w:val="24"/>
        </w:rPr>
      </w:pPr>
      <w:r w:rsidRPr="00E80916">
        <w:rPr>
          <w:rFonts w:ascii="Times New Roman" w:hAnsi="Times New Roman" w:cs="Times New Roman"/>
          <w:sz w:val="24"/>
          <w:szCs w:val="24"/>
        </w:rPr>
        <w:lastRenderedPageBreak/>
        <w:t>Piąty wskaźnik w obszarze ochrony środowiska mierzy dystans w zakresie emisji gazów</w:t>
      </w:r>
      <w:r w:rsidRPr="00B824AA">
        <w:rPr>
          <w:rFonts w:ascii="Times New Roman" w:hAnsi="Times New Roman" w:cs="Times New Roman"/>
          <w:sz w:val="24"/>
          <w:szCs w:val="24"/>
        </w:rPr>
        <w:t xml:space="preserve"> cieplarnianych i zanieczyszczeń powietrza w przemyśle oraz gospodarstwach domowych w</w:t>
      </w:r>
      <w:r w:rsidR="00FF43F6">
        <w:rPr>
          <w:rFonts w:ascii="Times New Roman" w:hAnsi="Times New Roman" w:cs="Times New Roman"/>
          <w:sz w:val="24"/>
          <w:szCs w:val="24"/>
        </w:rPr>
        <w:t> </w:t>
      </w:r>
      <w:r w:rsidRPr="00B824AA">
        <w:rPr>
          <w:rFonts w:ascii="Times New Roman" w:hAnsi="Times New Roman" w:cs="Times New Roman"/>
          <w:sz w:val="24"/>
          <w:szCs w:val="24"/>
        </w:rPr>
        <w:t>tonach na osobę do atmosfery. Również w tym przypadku obserwujemy dużą, a co więcej rosnącą lukę w relacji do krajów UE 2</w:t>
      </w:r>
      <w:r w:rsidR="006F5881">
        <w:rPr>
          <w:rFonts w:ascii="Times New Roman" w:hAnsi="Times New Roman" w:cs="Times New Roman"/>
          <w:sz w:val="24"/>
          <w:szCs w:val="24"/>
        </w:rPr>
        <w:t>7</w:t>
      </w:r>
      <w:r w:rsidRPr="00B824AA">
        <w:rPr>
          <w:rFonts w:ascii="Times New Roman" w:hAnsi="Times New Roman" w:cs="Times New Roman"/>
          <w:sz w:val="24"/>
          <w:szCs w:val="24"/>
        </w:rPr>
        <w:t>. W 202</w:t>
      </w:r>
      <w:r w:rsidR="00FB3274">
        <w:rPr>
          <w:rFonts w:ascii="Times New Roman" w:hAnsi="Times New Roman" w:cs="Times New Roman"/>
          <w:sz w:val="24"/>
          <w:szCs w:val="24"/>
        </w:rPr>
        <w:t>2</w:t>
      </w:r>
      <w:r w:rsidRPr="00B824AA">
        <w:rPr>
          <w:rFonts w:ascii="Times New Roman" w:hAnsi="Times New Roman" w:cs="Times New Roman"/>
          <w:sz w:val="24"/>
          <w:szCs w:val="24"/>
        </w:rPr>
        <w:t xml:space="preserve"> r. wskaźnik dla emisji do atmosfery </w:t>
      </w:r>
      <w:r w:rsidR="00F174A8">
        <w:rPr>
          <w:rFonts w:ascii="Times New Roman" w:hAnsi="Times New Roman" w:cs="Times New Roman"/>
          <w:sz w:val="24"/>
          <w:szCs w:val="24"/>
        </w:rPr>
        <w:t xml:space="preserve">w relacji do krajów UE 27 </w:t>
      </w:r>
      <w:r w:rsidRPr="00B824AA">
        <w:rPr>
          <w:rFonts w:ascii="Times New Roman" w:hAnsi="Times New Roman" w:cs="Times New Roman"/>
          <w:sz w:val="24"/>
          <w:szCs w:val="24"/>
        </w:rPr>
        <w:t>wynosił 5</w:t>
      </w:r>
      <w:r w:rsidR="00090B2F">
        <w:rPr>
          <w:rFonts w:ascii="Times New Roman" w:hAnsi="Times New Roman" w:cs="Times New Roman"/>
          <w:sz w:val="24"/>
          <w:szCs w:val="24"/>
        </w:rPr>
        <w:t>2</w:t>
      </w:r>
      <w:r w:rsidRPr="00B824AA">
        <w:rPr>
          <w:rFonts w:ascii="Times New Roman" w:hAnsi="Times New Roman" w:cs="Times New Roman"/>
          <w:sz w:val="24"/>
          <w:szCs w:val="24"/>
        </w:rPr>
        <w:t xml:space="preserve"> procent i w porównaniu do 2010 r. spadł o 1</w:t>
      </w:r>
      <w:r w:rsidR="00090B2F">
        <w:rPr>
          <w:rFonts w:ascii="Times New Roman" w:hAnsi="Times New Roman" w:cs="Times New Roman"/>
          <w:sz w:val="24"/>
          <w:szCs w:val="24"/>
        </w:rPr>
        <w:t>7</w:t>
      </w:r>
      <w:r w:rsidRPr="00B824AA">
        <w:rPr>
          <w:rFonts w:ascii="Times New Roman" w:hAnsi="Times New Roman" w:cs="Times New Roman"/>
          <w:sz w:val="24"/>
          <w:szCs w:val="24"/>
        </w:rPr>
        <w:t xml:space="preserve"> punktów procentowych. </w:t>
      </w:r>
      <w:r w:rsidR="00F174A8">
        <w:rPr>
          <w:rFonts w:ascii="Times New Roman" w:hAnsi="Times New Roman" w:cs="Times New Roman"/>
          <w:sz w:val="24"/>
          <w:szCs w:val="24"/>
        </w:rPr>
        <w:t>D</w:t>
      </w:r>
      <w:r w:rsidR="00D84B50">
        <w:rPr>
          <w:rFonts w:ascii="Times New Roman" w:hAnsi="Times New Roman" w:cs="Times New Roman"/>
          <w:sz w:val="24"/>
          <w:szCs w:val="24"/>
        </w:rPr>
        <w:t>ystans do krajów UE 14 wynosi 5</w:t>
      </w:r>
      <w:r w:rsidR="00DA2D37">
        <w:rPr>
          <w:rFonts w:ascii="Times New Roman" w:hAnsi="Times New Roman" w:cs="Times New Roman"/>
          <w:sz w:val="24"/>
          <w:szCs w:val="24"/>
        </w:rPr>
        <w:t>7</w:t>
      </w:r>
      <w:r w:rsidR="00D84B50">
        <w:rPr>
          <w:rFonts w:ascii="Times New Roman" w:hAnsi="Times New Roman" w:cs="Times New Roman"/>
          <w:sz w:val="24"/>
          <w:szCs w:val="24"/>
        </w:rPr>
        <w:t xml:space="preserve"> procent, natomiast Polska wypada w tym wskaźniku lepiej niż przeciętnie kraje UE 13</w:t>
      </w:r>
      <w:r w:rsidR="00DA2D37">
        <w:rPr>
          <w:rFonts w:ascii="Times New Roman" w:hAnsi="Times New Roman" w:cs="Times New Roman"/>
          <w:sz w:val="24"/>
          <w:szCs w:val="24"/>
        </w:rPr>
        <w:t xml:space="preserve"> o </w:t>
      </w:r>
      <w:r w:rsidR="002B3F00">
        <w:rPr>
          <w:rFonts w:ascii="Times New Roman" w:hAnsi="Times New Roman" w:cs="Times New Roman"/>
          <w:sz w:val="24"/>
          <w:szCs w:val="24"/>
        </w:rPr>
        <w:t>48 procent.</w:t>
      </w:r>
    </w:p>
    <w:p w14:paraId="3A4ECB4A" w14:textId="3EFC2BCD"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Szósty z grupy wskaźników w </w:t>
      </w:r>
      <w:r w:rsidR="00D84B50">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odnosi się do zużycia energii odnawialnej przez przedsiębiorstwa. Bazuje on na udziale energii odnawialnej w końcowym zużyciu energii brutto przedsiębiorstw w procentach. Również w przypadku tego wskaźnika utrzymuje się dystans pomiędzy Polska a krajami UE 2</w:t>
      </w:r>
      <w:r w:rsidR="00D84B50">
        <w:rPr>
          <w:rFonts w:ascii="Times New Roman" w:hAnsi="Times New Roman" w:cs="Times New Roman"/>
          <w:sz w:val="24"/>
          <w:szCs w:val="24"/>
        </w:rPr>
        <w:t xml:space="preserve">7. </w:t>
      </w:r>
      <w:r w:rsidRPr="00B824AA">
        <w:rPr>
          <w:rFonts w:ascii="Times New Roman" w:hAnsi="Times New Roman" w:cs="Times New Roman"/>
          <w:sz w:val="24"/>
          <w:szCs w:val="24"/>
        </w:rPr>
        <w:t>Między 2010 a 202</w:t>
      </w:r>
      <w:r w:rsidR="002B3F00">
        <w:rPr>
          <w:rFonts w:ascii="Times New Roman" w:hAnsi="Times New Roman" w:cs="Times New Roman"/>
          <w:sz w:val="24"/>
          <w:szCs w:val="24"/>
        </w:rPr>
        <w:t>2</w:t>
      </w:r>
      <w:r w:rsidRPr="00B824AA">
        <w:rPr>
          <w:rFonts w:ascii="Times New Roman" w:hAnsi="Times New Roman" w:cs="Times New Roman"/>
          <w:sz w:val="24"/>
          <w:szCs w:val="24"/>
        </w:rPr>
        <w:t xml:space="preserve"> rokiem wartość tego wskaźnika poprawiła się o </w:t>
      </w:r>
      <w:r w:rsidR="0022762F">
        <w:rPr>
          <w:rFonts w:ascii="Times New Roman" w:hAnsi="Times New Roman" w:cs="Times New Roman"/>
          <w:sz w:val="24"/>
          <w:szCs w:val="24"/>
        </w:rPr>
        <w:t>8</w:t>
      </w:r>
      <w:r w:rsidRPr="00B824AA">
        <w:rPr>
          <w:rFonts w:ascii="Times New Roman" w:hAnsi="Times New Roman" w:cs="Times New Roman"/>
          <w:sz w:val="24"/>
          <w:szCs w:val="24"/>
        </w:rPr>
        <w:t xml:space="preserve"> punktów procentowych</w:t>
      </w:r>
      <w:r w:rsidR="0022762F">
        <w:rPr>
          <w:rFonts w:ascii="Times New Roman" w:hAnsi="Times New Roman" w:cs="Times New Roman"/>
          <w:sz w:val="24"/>
          <w:szCs w:val="24"/>
        </w:rPr>
        <w:t xml:space="preserve"> i wyniosła </w:t>
      </w:r>
      <w:r w:rsidR="00003F27">
        <w:rPr>
          <w:rFonts w:ascii="Times New Roman" w:hAnsi="Times New Roman" w:cs="Times New Roman"/>
          <w:sz w:val="24"/>
          <w:szCs w:val="24"/>
        </w:rPr>
        <w:t>74 procent</w:t>
      </w:r>
      <w:r w:rsidRPr="00B824AA">
        <w:rPr>
          <w:rFonts w:ascii="Times New Roman" w:hAnsi="Times New Roman" w:cs="Times New Roman"/>
          <w:sz w:val="24"/>
          <w:szCs w:val="24"/>
        </w:rPr>
        <w:t xml:space="preserve">. Dystans Polski jest </w:t>
      </w:r>
      <w:r w:rsidR="00D955CB">
        <w:rPr>
          <w:rFonts w:ascii="Times New Roman" w:hAnsi="Times New Roman" w:cs="Times New Roman"/>
          <w:sz w:val="24"/>
          <w:szCs w:val="24"/>
        </w:rPr>
        <w:t>o 1</w:t>
      </w:r>
      <w:r w:rsidR="00003F27">
        <w:rPr>
          <w:rFonts w:ascii="Times New Roman" w:hAnsi="Times New Roman" w:cs="Times New Roman"/>
          <w:sz w:val="24"/>
          <w:szCs w:val="24"/>
        </w:rPr>
        <w:t>1</w:t>
      </w:r>
      <w:r w:rsidR="00D955CB">
        <w:rPr>
          <w:rFonts w:ascii="Times New Roman" w:hAnsi="Times New Roman" w:cs="Times New Roman"/>
          <w:sz w:val="24"/>
          <w:szCs w:val="24"/>
        </w:rPr>
        <w:t xml:space="preserve"> punktów procentowych</w:t>
      </w:r>
      <w:r w:rsidRPr="00B824AA">
        <w:rPr>
          <w:rFonts w:ascii="Times New Roman" w:hAnsi="Times New Roman" w:cs="Times New Roman"/>
          <w:sz w:val="24"/>
          <w:szCs w:val="24"/>
        </w:rPr>
        <w:t xml:space="preserve"> wyższy </w:t>
      </w:r>
      <w:r w:rsidR="00D955CB">
        <w:rPr>
          <w:rFonts w:ascii="Times New Roman" w:hAnsi="Times New Roman" w:cs="Times New Roman"/>
          <w:sz w:val="24"/>
          <w:szCs w:val="24"/>
        </w:rPr>
        <w:t>do krajów UE 14 w porównaniu do krajów UE 13.</w:t>
      </w:r>
      <w:r w:rsidRPr="00B824AA">
        <w:rPr>
          <w:rFonts w:ascii="Times New Roman" w:hAnsi="Times New Roman" w:cs="Times New Roman"/>
          <w:sz w:val="24"/>
          <w:szCs w:val="24"/>
        </w:rPr>
        <w:t xml:space="preserve"> </w:t>
      </w:r>
    </w:p>
    <w:p w14:paraId="7BD9AF0B" w14:textId="75AE394F"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Kolejny, siódmy wskaźnik w </w:t>
      </w:r>
      <w:r w:rsidR="00366AAC">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odnosi się do zużycia materiałów. Mierzy on dystans Polski do krajów Unii Europejskiej w zakresie całkowitej ilości materiałów bezpośrednio wykorzystywanych w gospodarce (DMC). Wskaźnik ten obliczany jest na podstawie bezpośredniego nakładu materiałowego (DMI) minus eksport w tonach na osobę. DMI mierzy bezpośredni wkład materiałów do wykorzystania w gospodarce, zarówno wydobycie krajowe (DE) jak i import. Wskaźnik ten wskazuje na rosnącą lukę Polski w</w:t>
      </w:r>
      <w:r w:rsidR="009E7E1B">
        <w:rPr>
          <w:rFonts w:ascii="Times New Roman" w:hAnsi="Times New Roman" w:cs="Times New Roman"/>
          <w:sz w:val="24"/>
          <w:szCs w:val="24"/>
        </w:rPr>
        <w:t> </w:t>
      </w:r>
      <w:r w:rsidRPr="00B824AA">
        <w:rPr>
          <w:rFonts w:ascii="Times New Roman" w:hAnsi="Times New Roman" w:cs="Times New Roman"/>
          <w:sz w:val="24"/>
          <w:szCs w:val="24"/>
        </w:rPr>
        <w:t>porównaniu do krajów UE 2</w:t>
      </w:r>
      <w:r w:rsidR="009E7E1B">
        <w:rPr>
          <w:rFonts w:ascii="Times New Roman" w:hAnsi="Times New Roman" w:cs="Times New Roman"/>
          <w:sz w:val="24"/>
          <w:szCs w:val="24"/>
        </w:rPr>
        <w:t>7</w:t>
      </w:r>
      <w:r w:rsidR="00BF33B0">
        <w:rPr>
          <w:rFonts w:ascii="Times New Roman" w:hAnsi="Times New Roman" w:cs="Times New Roman"/>
          <w:sz w:val="24"/>
          <w:szCs w:val="24"/>
        </w:rPr>
        <w:t xml:space="preserve"> – od 2010 r. do 202</w:t>
      </w:r>
      <w:r w:rsidR="00F00EBF">
        <w:rPr>
          <w:rFonts w:ascii="Times New Roman" w:hAnsi="Times New Roman" w:cs="Times New Roman"/>
          <w:sz w:val="24"/>
          <w:szCs w:val="24"/>
        </w:rPr>
        <w:t>2</w:t>
      </w:r>
      <w:r w:rsidR="00BF33B0">
        <w:rPr>
          <w:rFonts w:ascii="Times New Roman" w:hAnsi="Times New Roman" w:cs="Times New Roman"/>
          <w:sz w:val="24"/>
          <w:szCs w:val="24"/>
        </w:rPr>
        <w:t xml:space="preserve"> r. wartość wskaźnika dla tej grupy krajów spadł o 16 punktów procentowych</w:t>
      </w:r>
      <w:r w:rsidRPr="00B824AA">
        <w:rPr>
          <w:rFonts w:ascii="Times New Roman" w:hAnsi="Times New Roman" w:cs="Times New Roman"/>
          <w:sz w:val="24"/>
          <w:szCs w:val="24"/>
        </w:rPr>
        <w:t xml:space="preserve">. Obserwowana luka związana jest z dystansem do krajów </w:t>
      </w:r>
      <w:r w:rsidR="00BF33B0">
        <w:rPr>
          <w:rFonts w:ascii="Times New Roman" w:hAnsi="Times New Roman" w:cs="Times New Roman"/>
          <w:sz w:val="24"/>
          <w:szCs w:val="24"/>
        </w:rPr>
        <w:t>UE 14 (luka 3</w:t>
      </w:r>
      <w:r w:rsidR="00D57271">
        <w:rPr>
          <w:rFonts w:ascii="Times New Roman" w:hAnsi="Times New Roman" w:cs="Times New Roman"/>
          <w:sz w:val="24"/>
          <w:szCs w:val="24"/>
        </w:rPr>
        <w:t>4</w:t>
      </w:r>
      <w:r w:rsidR="00BF33B0">
        <w:rPr>
          <w:rFonts w:ascii="Times New Roman" w:hAnsi="Times New Roman" w:cs="Times New Roman"/>
          <w:sz w:val="24"/>
          <w:szCs w:val="24"/>
        </w:rPr>
        <w:t xml:space="preserve"> </w:t>
      </w:r>
      <w:r w:rsidR="00D57271">
        <w:rPr>
          <w:rFonts w:ascii="Times New Roman" w:hAnsi="Times New Roman" w:cs="Times New Roman"/>
          <w:sz w:val="24"/>
          <w:szCs w:val="24"/>
        </w:rPr>
        <w:t xml:space="preserve">punktów </w:t>
      </w:r>
      <w:r w:rsidR="00BF33B0">
        <w:rPr>
          <w:rFonts w:ascii="Times New Roman" w:hAnsi="Times New Roman" w:cs="Times New Roman"/>
          <w:sz w:val="24"/>
          <w:szCs w:val="24"/>
        </w:rPr>
        <w:t>procent</w:t>
      </w:r>
      <w:r w:rsidR="00D57271">
        <w:rPr>
          <w:rFonts w:ascii="Times New Roman" w:hAnsi="Times New Roman" w:cs="Times New Roman"/>
          <w:sz w:val="24"/>
          <w:szCs w:val="24"/>
        </w:rPr>
        <w:t>owych</w:t>
      </w:r>
      <w:r w:rsidR="00BF33B0">
        <w:rPr>
          <w:rFonts w:ascii="Times New Roman" w:hAnsi="Times New Roman" w:cs="Times New Roman"/>
          <w:sz w:val="24"/>
          <w:szCs w:val="24"/>
        </w:rPr>
        <w:t>)</w:t>
      </w:r>
      <w:r w:rsidRPr="00B824AA">
        <w:rPr>
          <w:rFonts w:ascii="Times New Roman" w:hAnsi="Times New Roman" w:cs="Times New Roman"/>
          <w:sz w:val="24"/>
          <w:szCs w:val="24"/>
        </w:rPr>
        <w:t>. W</w:t>
      </w:r>
      <w:r w:rsidR="00BF33B0">
        <w:rPr>
          <w:rFonts w:ascii="Times New Roman" w:hAnsi="Times New Roman" w:cs="Times New Roman"/>
          <w:sz w:val="24"/>
          <w:szCs w:val="24"/>
        </w:rPr>
        <w:t xml:space="preserve"> Polsce</w:t>
      </w:r>
      <w:r w:rsidRPr="00B824AA">
        <w:rPr>
          <w:rFonts w:ascii="Times New Roman" w:hAnsi="Times New Roman" w:cs="Times New Roman"/>
          <w:sz w:val="24"/>
          <w:szCs w:val="24"/>
        </w:rPr>
        <w:t xml:space="preserve"> stopień życia materiałów (DMC) jest zbliżony do </w:t>
      </w:r>
      <w:r w:rsidR="00BF33B0">
        <w:rPr>
          <w:rFonts w:ascii="Times New Roman" w:hAnsi="Times New Roman" w:cs="Times New Roman"/>
          <w:sz w:val="24"/>
          <w:szCs w:val="24"/>
        </w:rPr>
        <w:t>krajów UE 13</w:t>
      </w:r>
      <w:r w:rsidR="00D57271">
        <w:rPr>
          <w:rFonts w:ascii="Times New Roman" w:hAnsi="Times New Roman" w:cs="Times New Roman"/>
          <w:sz w:val="24"/>
          <w:szCs w:val="24"/>
        </w:rPr>
        <w:t xml:space="preserve"> (luka5 punktów procentowych). </w:t>
      </w:r>
    </w:p>
    <w:p w14:paraId="691D3F0A" w14:textId="7EB5EC1B"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Ósmy wskaźnik w </w:t>
      </w:r>
      <w:r w:rsidR="00BF33B0">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w:t>
      </w:r>
      <w:r w:rsidR="00BF33B0">
        <w:rPr>
          <w:rFonts w:ascii="Times New Roman" w:hAnsi="Times New Roman" w:cs="Times New Roman"/>
          <w:sz w:val="24"/>
          <w:szCs w:val="24"/>
        </w:rPr>
        <w:t>uwzględnia</w:t>
      </w:r>
      <w:r w:rsidRPr="00B824AA">
        <w:rPr>
          <w:rFonts w:ascii="Times New Roman" w:hAnsi="Times New Roman" w:cs="Times New Roman"/>
          <w:sz w:val="24"/>
          <w:szCs w:val="24"/>
        </w:rPr>
        <w:t xml:space="preserve"> odpad</w:t>
      </w:r>
      <w:r w:rsidR="00BF33B0">
        <w:rPr>
          <w:rFonts w:ascii="Times New Roman" w:hAnsi="Times New Roman" w:cs="Times New Roman"/>
          <w:sz w:val="24"/>
          <w:szCs w:val="24"/>
        </w:rPr>
        <w:t>y</w:t>
      </w:r>
      <w:r w:rsidRPr="00B824AA">
        <w:rPr>
          <w:rFonts w:ascii="Times New Roman" w:hAnsi="Times New Roman" w:cs="Times New Roman"/>
          <w:sz w:val="24"/>
          <w:szCs w:val="24"/>
        </w:rPr>
        <w:t xml:space="preserve"> przemysłow</w:t>
      </w:r>
      <w:r w:rsidR="00BF33B0">
        <w:rPr>
          <w:rFonts w:ascii="Times New Roman" w:hAnsi="Times New Roman" w:cs="Times New Roman"/>
          <w:sz w:val="24"/>
          <w:szCs w:val="24"/>
        </w:rPr>
        <w:t>e</w:t>
      </w:r>
      <w:r w:rsidRPr="00B824AA">
        <w:rPr>
          <w:rFonts w:ascii="Times New Roman" w:hAnsi="Times New Roman" w:cs="Times New Roman"/>
          <w:sz w:val="24"/>
          <w:szCs w:val="24"/>
        </w:rPr>
        <w:t>. Obejmuje on całość odpadów wytworzonych w kraju (w jednostce masy), z wyłączeniem głównych odpadów mineralnych, na jednostkę PKB (w euro). Jest to wskaźnik, w którego przypadku dystans Polski do krajów UE 2</w:t>
      </w:r>
      <w:r w:rsidR="000073DA">
        <w:rPr>
          <w:rFonts w:ascii="Times New Roman" w:hAnsi="Times New Roman" w:cs="Times New Roman"/>
          <w:sz w:val="24"/>
          <w:szCs w:val="24"/>
        </w:rPr>
        <w:t>7</w:t>
      </w:r>
      <w:r w:rsidRPr="00B824AA">
        <w:rPr>
          <w:rFonts w:ascii="Times New Roman" w:hAnsi="Times New Roman" w:cs="Times New Roman"/>
          <w:sz w:val="24"/>
          <w:szCs w:val="24"/>
        </w:rPr>
        <w:t xml:space="preserve"> jest największy </w:t>
      </w:r>
      <w:r w:rsidR="000073DA">
        <w:rPr>
          <w:rFonts w:ascii="Times New Roman" w:hAnsi="Times New Roman" w:cs="Times New Roman"/>
          <w:sz w:val="24"/>
          <w:szCs w:val="24"/>
        </w:rPr>
        <w:t>i wynosi 6</w:t>
      </w:r>
      <w:r w:rsidR="007962DA">
        <w:rPr>
          <w:rFonts w:ascii="Times New Roman" w:hAnsi="Times New Roman" w:cs="Times New Roman"/>
          <w:sz w:val="24"/>
          <w:szCs w:val="24"/>
        </w:rPr>
        <w:t>6</w:t>
      </w:r>
      <w:r w:rsidR="000073DA">
        <w:rPr>
          <w:rFonts w:ascii="Times New Roman" w:hAnsi="Times New Roman" w:cs="Times New Roman"/>
          <w:sz w:val="24"/>
          <w:szCs w:val="24"/>
        </w:rPr>
        <w:t xml:space="preserve"> punkt</w:t>
      </w:r>
      <w:r w:rsidR="007962DA">
        <w:rPr>
          <w:rFonts w:ascii="Times New Roman" w:hAnsi="Times New Roman" w:cs="Times New Roman"/>
          <w:sz w:val="24"/>
          <w:szCs w:val="24"/>
        </w:rPr>
        <w:t>ów</w:t>
      </w:r>
      <w:r w:rsidR="000073DA">
        <w:rPr>
          <w:rFonts w:ascii="Times New Roman" w:hAnsi="Times New Roman" w:cs="Times New Roman"/>
          <w:sz w:val="24"/>
          <w:szCs w:val="24"/>
        </w:rPr>
        <w:t xml:space="preserve"> procentow</w:t>
      </w:r>
      <w:r w:rsidR="007962DA">
        <w:rPr>
          <w:rFonts w:ascii="Times New Roman" w:hAnsi="Times New Roman" w:cs="Times New Roman"/>
          <w:sz w:val="24"/>
          <w:szCs w:val="24"/>
        </w:rPr>
        <w:t xml:space="preserve">ych, </w:t>
      </w:r>
      <w:r w:rsidR="00FE6EE6">
        <w:rPr>
          <w:rFonts w:ascii="Times New Roman" w:hAnsi="Times New Roman" w:cs="Times New Roman"/>
          <w:sz w:val="24"/>
          <w:szCs w:val="24"/>
        </w:rPr>
        <w:t>a co więcej dystans ten powiększył się o 2 punkty procentowe w 2022 r</w:t>
      </w:r>
      <w:r w:rsidRPr="00B824AA">
        <w:rPr>
          <w:rFonts w:ascii="Times New Roman" w:hAnsi="Times New Roman" w:cs="Times New Roman"/>
          <w:sz w:val="24"/>
          <w:szCs w:val="24"/>
        </w:rPr>
        <w:t xml:space="preserve">. </w:t>
      </w:r>
      <w:r w:rsidR="00671C0F">
        <w:rPr>
          <w:rFonts w:ascii="Times New Roman" w:hAnsi="Times New Roman" w:cs="Times New Roman"/>
          <w:sz w:val="24"/>
          <w:szCs w:val="24"/>
        </w:rPr>
        <w:t xml:space="preserve">Dystans </w:t>
      </w:r>
      <w:r w:rsidRPr="00B824AA">
        <w:rPr>
          <w:rFonts w:ascii="Times New Roman" w:hAnsi="Times New Roman" w:cs="Times New Roman"/>
          <w:sz w:val="24"/>
          <w:szCs w:val="24"/>
        </w:rPr>
        <w:t xml:space="preserve">ten </w:t>
      </w:r>
      <w:r w:rsidR="00671C0F">
        <w:rPr>
          <w:rFonts w:ascii="Times New Roman" w:hAnsi="Times New Roman" w:cs="Times New Roman"/>
          <w:sz w:val="24"/>
          <w:szCs w:val="24"/>
        </w:rPr>
        <w:t xml:space="preserve">utrzymuje się </w:t>
      </w:r>
      <w:r w:rsidRPr="00B824AA">
        <w:rPr>
          <w:rFonts w:ascii="Times New Roman" w:hAnsi="Times New Roman" w:cs="Times New Roman"/>
          <w:sz w:val="24"/>
          <w:szCs w:val="24"/>
        </w:rPr>
        <w:t xml:space="preserve">od 2010 r. Skala wytworzonych odpadów przemysłowych w Polsce jest mniej korzystna w porównaniu do krajów </w:t>
      </w:r>
      <w:r w:rsidR="009C5A9F">
        <w:rPr>
          <w:rFonts w:ascii="Times New Roman" w:hAnsi="Times New Roman" w:cs="Times New Roman"/>
          <w:sz w:val="24"/>
          <w:szCs w:val="24"/>
        </w:rPr>
        <w:t>UE 14</w:t>
      </w:r>
      <w:r w:rsidR="00671C0F">
        <w:rPr>
          <w:rFonts w:ascii="Times New Roman" w:hAnsi="Times New Roman" w:cs="Times New Roman"/>
          <w:sz w:val="24"/>
          <w:szCs w:val="24"/>
        </w:rPr>
        <w:t xml:space="preserve"> (32 procent)</w:t>
      </w:r>
      <w:r w:rsidR="000073DA">
        <w:rPr>
          <w:rFonts w:ascii="Times New Roman" w:hAnsi="Times New Roman" w:cs="Times New Roman"/>
          <w:sz w:val="24"/>
          <w:szCs w:val="24"/>
        </w:rPr>
        <w:t xml:space="preserve">, </w:t>
      </w:r>
      <w:r w:rsidRPr="00B824AA">
        <w:rPr>
          <w:rFonts w:ascii="Times New Roman" w:hAnsi="Times New Roman" w:cs="Times New Roman"/>
          <w:sz w:val="24"/>
          <w:szCs w:val="24"/>
        </w:rPr>
        <w:t xml:space="preserve">niż w przypadku krajów </w:t>
      </w:r>
      <w:r w:rsidR="009C5A9F">
        <w:rPr>
          <w:rFonts w:ascii="Times New Roman" w:hAnsi="Times New Roman" w:cs="Times New Roman"/>
          <w:sz w:val="24"/>
          <w:szCs w:val="24"/>
        </w:rPr>
        <w:t>UE 13</w:t>
      </w:r>
      <w:r w:rsidR="00671C0F">
        <w:rPr>
          <w:rFonts w:ascii="Times New Roman" w:hAnsi="Times New Roman" w:cs="Times New Roman"/>
          <w:sz w:val="24"/>
          <w:szCs w:val="24"/>
        </w:rPr>
        <w:t xml:space="preserve"> (67 procent)</w:t>
      </w:r>
      <w:r w:rsidR="000073DA">
        <w:rPr>
          <w:rFonts w:ascii="Times New Roman" w:hAnsi="Times New Roman" w:cs="Times New Roman"/>
          <w:sz w:val="24"/>
          <w:szCs w:val="24"/>
        </w:rPr>
        <w:t>, ale w relacji do średniej w obu grupach krajów wskaźnik ten w Polsce kształtuje się niekorzystnie.</w:t>
      </w:r>
    </w:p>
    <w:p w14:paraId="22086130" w14:textId="558617E0"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lastRenderedPageBreak/>
        <w:t xml:space="preserve">Dziewiąty wskaźnik w ramach </w:t>
      </w:r>
      <w:r w:rsidR="009707CF">
        <w:rPr>
          <w:rFonts w:ascii="Times New Roman" w:hAnsi="Times New Roman" w:cs="Times New Roman"/>
          <w:sz w:val="24"/>
          <w:szCs w:val="24"/>
        </w:rPr>
        <w:t>tego wymiaru</w:t>
      </w:r>
      <w:r w:rsidRPr="00B824AA">
        <w:rPr>
          <w:rFonts w:ascii="Times New Roman" w:hAnsi="Times New Roman" w:cs="Times New Roman"/>
          <w:sz w:val="24"/>
          <w:szCs w:val="24"/>
        </w:rPr>
        <w:t xml:space="preserve"> </w:t>
      </w:r>
      <w:r w:rsidR="009707CF">
        <w:rPr>
          <w:rFonts w:ascii="Times New Roman" w:hAnsi="Times New Roman" w:cs="Times New Roman"/>
          <w:sz w:val="24"/>
          <w:szCs w:val="24"/>
        </w:rPr>
        <w:t>mierzy relacje w</w:t>
      </w:r>
      <w:r w:rsidRPr="00B824AA">
        <w:rPr>
          <w:rFonts w:ascii="Times New Roman" w:hAnsi="Times New Roman" w:cs="Times New Roman"/>
          <w:sz w:val="24"/>
          <w:szCs w:val="24"/>
        </w:rPr>
        <w:t xml:space="preserve"> wykorzystani</w:t>
      </w:r>
      <w:r w:rsidR="009707CF">
        <w:rPr>
          <w:rFonts w:ascii="Times New Roman" w:hAnsi="Times New Roman" w:cs="Times New Roman"/>
          <w:sz w:val="24"/>
          <w:szCs w:val="24"/>
        </w:rPr>
        <w:t>u</w:t>
      </w:r>
      <w:r w:rsidRPr="00B824AA">
        <w:rPr>
          <w:rFonts w:ascii="Times New Roman" w:hAnsi="Times New Roman" w:cs="Times New Roman"/>
          <w:sz w:val="24"/>
          <w:szCs w:val="24"/>
        </w:rPr>
        <w:t xml:space="preserve"> surowców wtórnych. Odnosi się on do udziału materiałów poddawanych recyklingowi i wprowadzanych z powrotem do gospodarki w ogólnym zużyciu materiałów wyrażony w procentach. Pozwala to na oszczędzanie w ten sposób wydobycie surowców pierwotnych. Okrągłe wykorzystanie materiałów, znane również jako współczynnik cyrkulacji, definiuje się jako stosunek cyrkularnego wykorzystania materiałów do całkowitego zużycia materiałów. </w:t>
      </w:r>
      <w:r w:rsidR="00916EC1">
        <w:rPr>
          <w:rFonts w:ascii="Times New Roman" w:hAnsi="Times New Roman" w:cs="Times New Roman"/>
          <w:sz w:val="24"/>
          <w:szCs w:val="24"/>
        </w:rPr>
        <w:t>W 202</w:t>
      </w:r>
      <w:r w:rsidR="006114E7">
        <w:rPr>
          <w:rFonts w:ascii="Times New Roman" w:hAnsi="Times New Roman" w:cs="Times New Roman"/>
          <w:sz w:val="24"/>
          <w:szCs w:val="24"/>
        </w:rPr>
        <w:t>2</w:t>
      </w:r>
      <w:r w:rsidR="00916EC1">
        <w:rPr>
          <w:rFonts w:ascii="Times New Roman" w:hAnsi="Times New Roman" w:cs="Times New Roman"/>
          <w:sz w:val="24"/>
          <w:szCs w:val="24"/>
        </w:rPr>
        <w:t xml:space="preserve"> r. wykorzystanie surowców wtórnych w Polsce w </w:t>
      </w:r>
      <w:r w:rsidR="006114E7">
        <w:rPr>
          <w:rFonts w:ascii="Times New Roman" w:hAnsi="Times New Roman" w:cs="Times New Roman"/>
          <w:sz w:val="24"/>
          <w:szCs w:val="24"/>
        </w:rPr>
        <w:t>porównaniu do krajów UE 27 w</w:t>
      </w:r>
      <w:r w:rsidR="00B5386C">
        <w:rPr>
          <w:rFonts w:ascii="Times New Roman" w:hAnsi="Times New Roman" w:cs="Times New Roman"/>
          <w:sz w:val="24"/>
          <w:szCs w:val="24"/>
        </w:rPr>
        <w:t xml:space="preserve">yniósł  62 procent </w:t>
      </w:r>
      <w:r w:rsidR="00916EC1">
        <w:rPr>
          <w:rFonts w:ascii="Times New Roman" w:hAnsi="Times New Roman" w:cs="Times New Roman"/>
          <w:sz w:val="24"/>
          <w:szCs w:val="24"/>
        </w:rPr>
        <w:t>(</w:t>
      </w:r>
      <w:r w:rsidR="00B5386C">
        <w:rPr>
          <w:rFonts w:ascii="Times New Roman" w:hAnsi="Times New Roman" w:cs="Times New Roman"/>
          <w:sz w:val="24"/>
          <w:szCs w:val="24"/>
        </w:rPr>
        <w:t xml:space="preserve">spadek </w:t>
      </w:r>
      <w:r w:rsidR="00916EC1">
        <w:rPr>
          <w:rFonts w:ascii="Times New Roman" w:hAnsi="Times New Roman" w:cs="Times New Roman"/>
          <w:sz w:val="24"/>
          <w:szCs w:val="24"/>
        </w:rPr>
        <w:t xml:space="preserve">o </w:t>
      </w:r>
      <w:r w:rsidR="00B5386C">
        <w:rPr>
          <w:rFonts w:ascii="Times New Roman" w:hAnsi="Times New Roman" w:cs="Times New Roman"/>
          <w:sz w:val="24"/>
          <w:szCs w:val="24"/>
        </w:rPr>
        <w:t>5</w:t>
      </w:r>
      <w:r w:rsidR="00916EC1">
        <w:rPr>
          <w:rFonts w:ascii="Times New Roman" w:hAnsi="Times New Roman" w:cs="Times New Roman"/>
          <w:sz w:val="24"/>
          <w:szCs w:val="24"/>
        </w:rPr>
        <w:t xml:space="preserve"> punktów procentowych) </w:t>
      </w:r>
      <w:r w:rsidRPr="00B824AA">
        <w:rPr>
          <w:rFonts w:ascii="Times New Roman" w:hAnsi="Times New Roman" w:cs="Times New Roman"/>
          <w:sz w:val="24"/>
          <w:szCs w:val="24"/>
        </w:rPr>
        <w:t xml:space="preserve">. W tym obszarze luka dzieli Polskę przede wszystkim w relacji do krajów </w:t>
      </w:r>
      <w:r w:rsidR="00916EC1">
        <w:rPr>
          <w:rFonts w:ascii="Times New Roman" w:hAnsi="Times New Roman" w:cs="Times New Roman"/>
          <w:sz w:val="24"/>
          <w:szCs w:val="24"/>
        </w:rPr>
        <w:t>UE 14</w:t>
      </w:r>
      <w:r w:rsidRPr="00B824AA">
        <w:rPr>
          <w:rFonts w:ascii="Times New Roman" w:hAnsi="Times New Roman" w:cs="Times New Roman"/>
          <w:sz w:val="24"/>
          <w:szCs w:val="24"/>
        </w:rPr>
        <w:t xml:space="preserve"> (</w:t>
      </w:r>
      <w:r w:rsidR="00916EC1">
        <w:rPr>
          <w:rFonts w:ascii="Times New Roman" w:hAnsi="Times New Roman" w:cs="Times New Roman"/>
          <w:sz w:val="24"/>
          <w:szCs w:val="24"/>
        </w:rPr>
        <w:t xml:space="preserve">dystans wynosi </w:t>
      </w:r>
      <w:r w:rsidR="00B5386C">
        <w:rPr>
          <w:rFonts w:ascii="Times New Roman" w:hAnsi="Times New Roman" w:cs="Times New Roman"/>
          <w:sz w:val="24"/>
          <w:szCs w:val="24"/>
        </w:rPr>
        <w:t>42</w:t>
      </w:r>
      <w:r w:rsidR="00916EC1">
        <w:rPr>
          <w:rFonts w:ascii="Times New Roman" w:hAnsi="Times New Roman" w:cs="Times New Roman"/>
          <w:sz w:val="24"/>
          <w:szCs w:val="24"/>
        </w:rPr>
        <w:t xml:space="preserve"> punkt</w:t>
      </w:r>
      <w:r w:rsidR="00B5386C">
        <w:rPr>
          <w:rFonts w:ascii="Times New Roman" w:hAnsi="Times New Roman" w:cs="Times New Roman"/>
          <w:sz w:val="24"/>
          <w:szCs w:val="24"/>
        </w:rPr>
        <w:t>y</w:t>
      </w:r>
      <w:r w:rsidR="00916EC1">
        <w:rPr>
          <w:rFonts w:ascii="Times New Roman" w:hAnsi="Times New Roman" w:cs="Times New Roman"/>
          <w:sz w:val="24"/>
          <w:szCs w:val="24"/>
        </w:rPr>
        <w:t xml:space="preserve"> procentow</w:t>
      </w:r>
      <w:r w:rsidR="00B5386C">
        <w:rPr>
          <w:rFonts w:ascii="Times New Roman" w:hAnsi="Times New Roman" w:cs="Times New Roman"/>
          <w:sz w:val="24"/>
          <w:szCs w:val="24"/>
        </w:rPr>
        <w:t>e</w:t>
      </w:r>
      <w:r w:rsidRPr="00B824AA">
        <w:rPr>
          <w:rFonts w:ascii="Times New Roman" w:hAnsi="Times New Roman" w:cs="Times New Roman"/>
          <w:sz w:val="24"/>
          <w:szCs w:val="24"/>
        </w:rPr>
        <w:t xml:space="preserve">), podczas gdy </w:t>
      </w:r>
      <w:r w:rsidR="00916EC1">
        <w:rPr>
          <w:rFonts w:ascii="Times New Roman" w:hAnsi="Times New Roman" w:cs="Times New Roman"/>
          <w:sz w:val="24"/>
          <w:szCs w:val="24"/>
        </w:rPr>
        <w:t>w</w:t>
      </w:r>
      <w:r w:rsidRPr="00B824AA">
        <w:rPr>
          <w:rFonts w:ascii="Times New Roman" w:hAnsi="Times New Roman" w:cs="Times New Roman"/>
          <w:sz w:val="24"/>
          <w:szCs w:val="24"/>
        </w:rPr>
        <w:t xml:space="preserve"> porównaniu do krajów </w:t>
      </w:r>
      <w:r w:rsidR="00916EC1">
        <w:rPr>
          <w:rFonts w:ascii="Times New Roman" w:hAnsi="Times New Roman" w:cs="Times New Roman"/>
          <w:sz w:val="24"/>
          <w:szCs w:val="24"/>
        </w:rPr>
        <w:t xml:space="preserve">UE 13 </w:t>
      </w:r>
      <w:r w:rsidRPr="00B824AA">
        <w:rPr>
          <w:rFonts w:ascii="Times New Roman" w:hAnsi="Times New Roman" w:cs="Times New Roman"/>
          <w:sz w:val="24"/>
          <w:szCs w:val="24"/>
        </w:rPr>
        <w:t>sytuacja w Polsce jest korzystniejsza (</w:t>
      </w:r>
      <w:r w:rsidR="00916EC1">
        <w:rPr>
          <w:rFonts w:ascii="Times New Roman" w:hAnsi="Times New Roman" w:cs="Times New Roman"/>
          <w:sz w:val="24"/>
          <w:szCs w:val="24"/>
        </w:rPr>
        <w:t xml:space="preserve">nadwyżka </w:t>
      </w:r>
      <w:r w:rsidR="00C33528">
        <w:rPr>
          <w:rFonts w:ascii="Times New Roman" w:hAnsi="Times New Roman" w:cs="Times New Roman"/>
          <w:sz w:val="24"/>
          <w:szCs w:val="24"/>
        </w:rPr>
        <w:t>11</w:t>
      </w:r>
      <w:r w:rsidR="001036C3">
        <w:rPr>
          <w:rFonts w:ascii="Times New Roman" w:hAnsi="Times New Roman" w:cs="Times New Roman"/>
          <w:sz w:val="24"/>
          <w:szCs w:val="24"/>
        </w:rPr>
        <w:t> </w:t>
      </w:r>
      <w:r w:rsidR="00916EC1">
        <w:rPr>
          <w:rFonts w:ascii="Times New Roman" w:hAnsi="Times New Roman" w:cs="Times New Roman"/>
          <w:sz w:val="24"/>
          <w:szCs w:val="24"/>
        </w:rPr>
        <w:t>punktów procentowych</w:t>
      </w:r>
      <w:r w:rsidRPr="00B824AA">
        <w:rPr>
          <w:rFonts w:ascii="Times New Roman" w:hAnsi="Times New Roman" w:cs="Times New Roman"/>
          <w:sz w:val="24"/>
          <w:szCs w:val="24"/>
        </w:rPr>
        <w:t xml:space="preserve">). </w:t>
      </w:r>
    </w:p>
    <w:p w14:paraId="36854043" w14:textId="2E749DCC" w:rsidR="00534A2E" w:rsidRPr="00B824AA" w:rsidRDefault="00534A2E" w:rsidP="00534A2E">
      <w:pPr>
        <w:tabs>
          <w:tab w:val="left" w:pos="2835"/>
        </w:tabs>
        <w:spacing w:line="360" w:lineRule="auto"/>
        <w:jc w:val="both"/>
        <w:rPr>
          <w:rFonts w:ascii="Times New Roman" w:hAnsi="Times New Roman" w:cs="Times New Roman"/>
          <w:sz w:val="24"/>
          <w:szCs w:val="24"/>
        </w:rPr>
      </w:pPr>
      <w:r w:rsidRPr="00B824AA">
        <w:rPr>
          <w:rFonts w:ascii="Times New Roman" w:hAnsi="Times New Roman" w:cs="Times New Roman"/>
          <w:sz w:val="24"/>
          <w:szCs w:val="24"/>
        </w:rPr>
        <w:t xml:space="preserve">Ostatni, dziesiąty, wskaźnik w </w:t>
      </w:r>
      <w:r w:rsidR="001036C3">
        <w:rPr>
          <w:rFonts w:ascii="Times New Roman" w:hAnsi="Times New Roman" w:cs="Times New Roman"/>
          <w:sz w:val="24"/>
          <w:szCs w:val="24"/>
        </w:rPr>
        <w:t>wymiarze</w:t>
      </w:r>
      <w:r w:rsidRPr="00B824AA">
        <w:rPr>
          <w:rFonts w:ascii="Times New Roman" w:hAnsi="Times New Roman" w:cs="Times New Roman"/>
          <w:sz w:val="24"/>
          <w:szCs w:val="24"/>
        </w:rPr>
        <w:t xml:space="preserve"> ochrony środowiska związany jest z emisją gazów cieplarnianych powstałych w wyniku emisji z zakładów przemysłowych. Odnosi się on</w:t>
      </w:r>
      <w:r w:rsidR="001036C3">
        <w:rPr>
          <w:rFonts w:ascii="Times New Roman" w:hAnsi="Times New Roman" w:cs="Times New Roman"/>
          <w:sz w:val="24"/>
          <w:szCs w:val="24"/>
        </w:rPr>
        <w:t> </w:t>
      </w:r>
      <w:r w:rsidRPr="00B824AA">
        <w:rPr>
          <w:rFonts w:ascii="Times New Roman" w:hAnsi="Times New Roman" w:cs="Times New Roman"/>
          <w:sz w:val="24"/>
          <w:szCs w:val="24"/>
        </w:rPr>
        <w:t>do</w:t>
      </w:r>
      <w:r w:rsidR="001036C3">
        <w:rPr>
          <w:rFonts w:ascii="Times New Roman" w:hAnsi="Times New Roman" w:cs="Times New Roman"/>
          <w:sz w:val="24"/>
          <w:szCs w:val="24"/>
        </w:rPr>
        <w:t> </w:t>
      </w:r>
      <w:r w:rsidRPr="00B824AA">
        <w:rPr>
          <w:rFonts w:ascii="Times New Roman" w:hAnsi="Times New Roman" w:cs="Times New Roman"/>
          <w:sz w:val="24"/>
          <w:szCs w:val="24"/>
        </w:rPr>
        <w:t>emisji gazów cieplarnianych (dwutlenku węgla oraz innych przeliczonych na emisję CO2) w</w:t>
      </w:r>
      <w:r w:rsidR="001036C3">
        <w:rPr>
          <w:rFonts w:ascii="Times New Roman" w:hAnsi="Times New Roman" w:cs="Times New Roman"/>
          <w:sz w:val="24"/>
          <w:szCs w:val="24"/>
        </w:rPr>
        <w:t> </w:t>
      </w:r>
      <w:r w:rsidRPr="00B824AA">
        <w:rPr>
          <w:rFonts w:ascii="Times New Roman" w:hAnsi="Times New Roman" w:cs="Times New Roman"/>
          <w:sz w:val="24"/>
          <w:szCs w:val="24"/>
        </w:rPr>
        <w:t xml:space="preserve">tys. ton na osobę. </w:t>
      </w:r>
      <w:r w:rsidR="001036C3">
        <w:rPr>
          <w:rFonts w:ascii="Times New Roman" w:hAnsi="Times New Roman" w:cs="Times New Roman"/>
          <w:sz w:val="24"/>
          <w:szCs w:val="24"/>
        </w:rPr>
        <w:t>W</w:t>
      </w:r>
      <w:r w:rsidRPr="00B824AA">
        <w:rPr>
          <w:rFonts w:ascii="Times New Roman" w:hAnsi="Times New Roman" w:cs="Times New Roman"/>
          <w:sz w:val="24"/>
          <w:szCs w:val="24"/>
        </w:rPr>
        <w:t xml:space="preserve"> tym przypadku luka dzieląca Polskę od krajów UE 2</w:t>
      </w:r>
      <w:r w:rsidR="001036C3">
        <w:rPr>
          <w:rFonts w:ascii="Times New Roman" w:hAnsi="Times New Roman" w:cs="Times New Roman"/>
          <w:sz w:val="24"/>
          <w:szCs w:val="24"/>
        </w:rPr>
        <w:t>7</w:t>
      </w:r>
      <w:r w:rsidRPr="00B824AA">
        <w:rPr>
          <w:rFonts w:ascii="Times New Roman" w:hAnsi="Times New Roman" w:cs="Times New Roman"/>
          <w:sz w:val="24"/>
          <w:szCs w:val="24"/>
        </w:rPr>
        <w:t xml:space="preserve"> </w:t>
      </w:r>
      <w:r w:rsidR="001036C3">
        <w:rPr>
          <w:rFonts w:ascii="Times New Roman" w:hAnsi="Times New Roman" w:cs="Times New Roman"/>
          <w:sz w:val="24"/>
          <w:szCs w:val="24"/>
        </w:rPr>
        <w:t>rosła pomiędzy 2010 a 2020 r., ale spadła w 2021 r.</w:t>
      </w:r>
      <w:r w:rsidR="00C33528">
        <w:rPr>
          <w:rFonts w:ascii="Times New Roman" w:hAnsi="Times New Roman" w:cs="Times New Roman"/>
          <w:sz w:val="24"/>
          <w:szCs w:val="24"/>
        </w:rPr>
        <w:t xml:space="preserve"> i 2022 r. W ostatnim roku objętym analizą luka zmniejszyła się</w:t>
      </w:r>
      <w:r w:rsidR="001036C3">
        <w:rPr>
          <w:rFonts w:ascii="Times New Roman" w:hAnsi="Times New Roman" w:cs="Times New Roman"/>
          <w:sz w:val="24"/>
          <w:szCs w:val="24"/>
        </w:rPr>
        <w:t xml:space="preserve"> o </w:t>
      </w:r>
      <w:r w:rsidR="00C33528">
        <w:rPr>
          <w:rFonts w:ascii="Times New Roman" w:hAnsi="Times New Roman" w:cs="Times New Roman"/>
          <w:sz w:val="24"/>
          <w:szCs w:val="24"/>
        </w:rPr>
        <w:t>2</w:t>
      </w:r>
      <w:r w:rsidR="001036C3">
        <w:rPr>
          <w:rFonts w:ascii="Times New Roman" w:hAnsi="Times New Roman" w:cs="Times New Roman"/>
          <w:sz w:val="24"/>
          <w:szCs w:val="24"/>
        </w:rPr>
        <w:t xml:space="preserve"> punkt</w:t>
      </w:r>
      <w:r w:rsidR="00C33528">
        <w:rPr>
          <w:rFonts w:ascii="Times New Roman" w:hAnsi="Times New Roman" w:cs="Times New Roman"/>
          <w:sz w:val="24"/>
          <w:szCs w:val="24"/>
        </w:rPr>
        <w:t>y</w:t>
      </w:r>
      <w:r w:rsidR="001036C3">
        <w:rPr>
          <w:rFonts w:ascii="Times New Roman" w:hAnsi="Times New Roman" w:cs="Times New Roman"/>
          <w:sz w:val="24"/>
          <w:szCs w:val="24"/>
        </w:rPr>
        <w:t xml:space="preserve"> procentow</w:t>
      </w:r>
      <w:r w:rsidR="00C33528">
        <w:rPr>
          <w:rFonts w:ascii="Times New Roman" w:hAnsi="Times New Roman" w:cs="Times New Roman"/>
          <w:sz w:val="24"/>
          <w:szCs w:val="24"/>
        </w:rPr>
        <w:t>e</w:t>
      </w:r>
      <w:r w:rsidR="00855E6F">
        <w:rPr>
          <w:rFonts w:ascii="Times New Roman" w:hAnsi="Times New Roman" w:cs="Times New Roman"/>
          <w:sz w:val="24"/>
          <w:szCs w:val="24"/>
        </w:rPr>
        <w:t>, a wskaźnik wyniósł 73 procent (nadal poniżej wartości z 2010 r.)</w:t>
      </w:r>
      <w:r w:rsidR="001036C3">
        <w:rPr>
          <w:rFonts w:ascii="Times New Roman" w:hAnsi="Times New Roman" w:cs="Times New Roman"/>
          <w:sz w:val="24"/>
          <w:szCs w:val="24"/>
        </w:rPr>
        <w:t xml:space="preserve">. </w:t>
      </w:r>
      <w:r w:rsidRPr="00B824AA">
        <w:rPr>
          <w:rFonts w:ascii="Times New Roman" w:hAnsi="Times New Roman" w:cs="Times New Roman"/>
          <w:sz w:val="24"/>
          <w:szCs w:val="24"/>
        </w:rPr>
        <w:t xml:space="preserve">W zakresie emisji gazów cieplarnianych luka dzieląca Polskę </w:t>
      </w:r>
      <w:r w:rsidR="001036C3">
        <w:rPr>
          <w:rFonts w:ascii="Times New Roman" w:hAnsi="Times New Roman" w:cs="Times New Roman"/>
          <w:sz w:val="24"/>
          <w:szCs w:val="24"/>
        </w:rPr>
        <w:t>jest nieco wyższa dla krajów UE 14 (</w:t>
      </w:r>
      <w:r w:rsidR="00802423">
        <w:rPr>
          <w:rFonts w:ascii="Times New Roman" w:hAnsi="Times New Roman" w:cs="Times New Roman"/>
          <w:sz w:val="24"/>
          <w:szCs w:val="24"/>
        </w:rPr>
        <w:t>28</w:t>
      </w:r>
      <w:r w:rsidR="001036C3">
        <w:rPr>
          <w:rFonts w:ascii="Times New Roman" w:hAnsi="Times New Roman" w:cs="Times New Roman"/>
          <w:sz w:val="24"/>
          <w:szCs w:val="24"/>
        </w:rPr>
        <w:t xml:space="preserve"> punktów procentowych), niż dla krajów UE 13 (2</w:t>
      </w:r>
      <w:r w:rsidR="00802423">
        <w:rPr>
          <w:rFonts w:ascii="Times New Roman" w:hAnsi="Times New Roman" w:cs="Times New Roman"/>
          <w:sz w:val="24"/>
          <w:szCs w:val="24"/>
        </w:rPr>
        <w:t>2</w:t>
      </w:r>
      <w:r w:rsidR="001036C3">
        <w:rPr>
          <w:rFonts w:ascii="Times New Roman" w:hAnsi="Times New Roman" w:cs="Times New Roman"/>
          <w:sz w:val="24"/>
          <w:szCs w:val="24"/>
        </w:rPr>
        <w:t xml:space="preserve"> punkty procentowe).</w:t>
      </w:r>
    </w:p>
    <w:p w14:paraId="43617552" w14:textId="5CDCC0BD" w:rsidR="00534A2E" w:rsidRPr="00B824AA" w:rsidRDefault="00F80AE3" w:rsidP="00F80AE3">
      <w:pPr>
        <w:pStyle w:val="Caption"/>
        <w:rPr>
          <w:rFonts w:ascii="Times New Roman" w:hAnsi="Times New Roman" w:cs="Times New Roman"/>
          <w:sz w:val="22"/>
          <w:szCs w:val="22"/>
        </w:rPr>
      </w:pPr>
      <w:r w:rsidRPr="00B824AA">
        <w:rPr>
          <w:rFonts w:ascii="Times New Roman" w:hAnsi="Times New Roman" w:cs="Times New Roman"/>
          <w:sz w:val="22"/>
          <w:szCs w:val="22"/>
        </w:rPr>
        <w:t xml:space="preserve">Tabela </w:t>
      </w:r>
      <w:r w:rsidRPr="00B824AA">
        <w:rPr>
          <w:rFonts w:ascii="Times New Roman" w:hAnsi="Times New Roman" w:cs="Times New Roman"/>
          <w:sz w:val="22"/>
          <w:szCs w:val="22"/>
        </w:rPr>
        <w:fldChar w:fldCharType="begin"/>
      </w:r>
      <w:r w:rsidRPr="00B824AA">
        <w:rPr>
          <w:rFonts w:ascii="Times New Roman" w:hAnsi="Times New Roman" w:cs="Times New Roman"/>
          <w:sz w:val="22"/>
          <w:szCs w:val="22"/>
        </w:rPr>
        <w:instrText xml:space="preserve"> SEQ Tabela \* ARABIC </w:instrText>
      </w:r>
      <w:r w:rsidRPr="00B824AA">
        <w:rPr>
          <w:rFonts w:ascii="Times New Roman" w:hAnsi="Times New Roman" w:cs="Times New Roman"/>
          <w:sz w:val="22"/>
          <w:szCs w:val="22"/>
        </w:rPr>
        <w:fldChar w:fldCharType="separate"/>
      </w:r>
      <w:r w:rsidR="003946AA">
        <w:rPr>
          <w:rFonts w:ascii="Times New Roman" w:hAnsi="Times New Roman" w:cs="Times New Roman"/>
          <w:noProof/>
          <w:sz w:val="22"/>
          <w:szCs w:val="22"/>
        </w:rPr>
        <w:t>9</w:t>
      </w:r>
      <w:r w:rsidRPr="00B824AA">
        <w:rPr>
          <w:rFonts w:ascii="Times New Roman" w:hAnsi="Times New Roman" w:cs="Times New Roman"/>
          <w:sz w:val="22"/>
          <w:szCs w:val="22"/>
        </w:rPr>
        <w:fldChar w:fldCharType="end"/>
      </w:r>
      <w:r w:rsidRPr="00B824AA">
        <w:rPr>
          <w:rFonts w:ascii="Times New Roman" w:hAnsi="Times New Roman" w:cs="Times New Roman"/>
          <w:sz w:val="22"/>
          <w:szCs w:val="22"/>
        </w:rPr>
        <w:t xml:space="preserve">. Wskaźniki </w:t>
      </w:r>
      <w:proofErr w:type="spellStart"/>
      <w:r w:rsidR="009B2D4F">
        <w:rPr>
          <w:rFonts w:ascii="Times New Roman" w:hAnsi="Times New Roman" w:cs="Times New Roman"/>
          <w:sz w:val="22"/>
          <w:szCs w:val="22"/>
        </w:rPr>
        <w:t>catch-up</w:t>
      </w:r>
      <w:proofErr w:type="spellEnd"/>
      <w:r w:rsidRPr="00B824AA">
        <w:rPr>
          <w:rFonts w:ascii="Times New Roman" w:hAnsi="Times New Roman" w:cs="Times New Roman"/>
          <w:sz w:val="22"/>
          <w:szCs w:val="22"/>
        </w:rPr>
        <w:t xml:space="preserve"> w wymiarze </w:t>
      </w:r>
      <w:r w:rsidR="00ED0ACC" w:rsidRPr="00B824AA">
        <w:rPr>
          <w:rFonts w:ascii="Times New Roman" w:hAnsi="Times New Roman" w:cs="Times New Roman"/>
          <w:sz w:val="22"/>
          <w:szCs w:val="22"/>
        </w:rPr>
        <w:t>Ochrona środowiska</w:t>
      </w:r>
      <w:r w:rsidRPr="00B824AA">
        <w:rPr>
          <w:rFonts w:ascii="Times New Roman" w:hAnsi="Times New Roman" w:cs="Times New Roman"/>
          <w:sz w:val="22"/>
          <w:szCs w:val="22"/>
        </w:rPr>
        <w:t xml:space="preserve"> w latach 2010, 2015, 2020</w:t>
      </w:r>
      <w:r w:rsidR="00497769">
        <w:rPr>
          <w:rFonts w:ascii="Times New Roman" w:hAnsi="Times New Roman" w:cs="Times New Roman"/>
          <w:sz w:val="22"/>
          <w:szCs w:val="22"/>
        </w:rPr>
        <w:t>,</w:t>
      </w:r>
      <w:r w:rsidRPr="00B824AA">
        <w:rPr>
          <w:rFonts w:ascii="Times New Roman" w:hAnsi="Times New Roman" w:cs="Times New Roman"/>
          <w:sz w:val="22"/>
          <w:szCs w:val="22"/>
        </w:rPr>
        <w:t xml:space="preserve"> 2021</w:t>
      </w:r>
      <w:r w:rsidR="00497769">
        <w:rPr>
          <w:rFonts w:ascii="Times New Roman" w:hAnsi="Times New Roman" w:cs="Times New Roman"/>
          <w:sz w:val="22"/>
          <w:szCs w:val="22"/>
        </w:rPr>
        <w:t xml:space="preserve"> i 2022</w:t>
      </w:r>
      <w:r w:rsidRPr="00B824AA">
        <w:rPr>
          <w:rFonts w:ascii="Times New Roman" w:hAnsi="Times New Roman" w:cs="Times New Roman"/>
          <w:sz w:val="22"/>
          <w:szCs w:val="22"/>
        </w:rPr>
        <w:t>.</w:t>
      </w:r>
    </w:p>
    <w:tbl>
      <w:tblPr>
        <w:tblStyle w:val="TableGrid"/>
        <w:tblW w:w="9062" w:type="dxa"/>
        <w:tblInd w:w="0" w:type="dxa"/>
        <w:tblLayout w:type="fixed"/>
        <w:tblLook w:val="04A0" w:firstRow="1" w:lastRow="0" w:firstColumn="1" w:lastColumn="0" w:noHBand="0" w:noVBand="1"/>
      </w:tblPr>
      <w:tblGrid>
        <w:gridCol w:w="2689"/>
        <w:gridCol w:w="2124"/>
        <w:gridCol w:w="2124"/>
        <w:gridCol w:w="2125"/>
      </w:tblGrid>
      <w:tr w:rsidR="00534A2E" w:rsidRPr="00B824AA" w14:paraId="1C580BC0" w14:textId="77777777" w:rsidTr="005B1B67">
        <w:trPr>
          <w:trHeight w:val="367"/>
          <w:tblHeader/>
        </w:trPr>
        <w:tc>
          <w:tcPr>
            <w:tcW w:w="2689" w:type="dxa"/>
            <w:vMerge w:val="restart"/>
            <w:vAlign w:val="center"/>
          </w:tcPr>
          <w:p w14:paraId="0CDE974B" w14:textId="2ECFE9A9" w:rsidR="00534A2E" w:rsidRPr="00B824AA" w:rsidRDefault="00C9487A" w:rsidP="00CC3BD8">
            <w:pPr>
              <w:jc w:val="center"/>
              <w:rPr>
                <w:rFonts w:ascii="Times New Roman" w:hAnsi="Times New Roman" w:cs="Times New Roman"/>
                <w:b/>
                <w:bCs/>
              </w:rPr>
            </w:pPr>
            <w:r w:rsidRPr="00B824AA">
              <w:rPr>
                <w:rFonts w:ascii="Times New Roman" w:hAnsi="Times New Roman" w:cs="Times New Roman"/>
                <w:b/>
                <w:bCs/>
              </w:rPr>
              <w:t>Wymiar</w:t>
            </w:r>
            <w:r w:rsidR="00534A2E" w:rsidRPr="00B824AA">
              <w:rPr>
                <w:rFonts w:ascii="Times New Roman" w:hAnsi="Times New Roman" w:cs="Times New Roman"/>
                <w:b/>
                <w:bCs/>
              </w:rPr>
              <w:t xml:space="preserve"> i wskaźniki cząstkowe oraz lata</w:t>
            </w:r>
          </w:p>
        </w:tc>
        <w:tc>
          <w:tcPr>
            <w:tcW w:w="6373" w:type="dxa"/>
            <w:gridSpan w:val="3"/>
            <w:vAlign w:val="center"/>
          </w:tcPr>
          <w:p w14:paraId="525EDD2E" w14:textId="792F1603" w:rsidR="00534A2E" w:rsidRPr="00B824AA" w:rsidRDefault="00534A2E" w:rsidP="00CC3BD8">
            <w:pPr>
              <w:jc w:val="center"/>
              <w:rPr>
                <w:rFonts w:ascii="Times New Roman" w:hAnsi="Times New Roman" w:cs="Times New Roman"/>
                <w:b/>
                <w:bCs/>
              </w:rPr>
            </w:pPr>
            <w:r w:rsidRPr="00B824AA">
              <w:rPr>
                <w:rFonts w:ascii="Times New Roman" w:hAnsi="Times New Roman" w:cs="Times New Roman"/>
                <w:b/>
                <w:bCs/>
              </w:rPr>
              <w:t xml:space="preserve">Wskaźniki </w:t>
            </w:r>
            <w:proofErr w:type="spellStart"/>
            <w:r w:rsidR="009B2D4F">
              <w:rPr>
                <w:rFonts w:ascii="Times New Roman" w:hAnsi="Times New Roman" w:cs="Times New Roman"/>
                <w:b/>
                <w:bCs/>
              </w:rPr>
              <w:t>catch-up</w:t>
            </w:r>
            <w:proofErr w:type="spellEnd"/>
            <w:r w:rsidRPr="00B824AA">
              <w:rPr>
                <w:rFonts w:ascii="Times New Roman" w:hAnsi="Times New Roman" w:cs="Times New Roman"/>
                <w:b/>
                <w:bCs/>
              </w:rPr>
              <w:t xml:space="preserve"> w %</w:t>
            </w:r>
          </w:p>
        </w:tc>
      </w:tr>
      <w:tr w:rsidR="00C9487A" w:rsidRPr="00B824AA" w14:paraId="73E18B30" w14:textId="77777777" w:rsidTr="005B1B67">
        <w:trPr>
          <w:trHeight w:val="399"/>
          <w:tblHeader/>
        </w:trPr>
        <w:tc>
          <w:tcPr>
            <w:tcW w:w="2689" w:type="dxa"/>
            <w:vMerge/>
            <w:vAlign w:val="center"/>
          </w:tcPr>
          <w:p w14:paraId="78C776A6" w14:textId="77777777" w:rsidR="00C9487A" w:rsidRPr="00B824AA" w:rsidRDefault="00C9487A" w:rsidP="00C9487A">
            <w:pPr>
              <w:jc w:val="center"/>
              <w:rPr>
                <w:rFonts w:ascii="Times New Roman" w:hAnsi="Times New Roman" w:cs="Times New Roman"/>
                <w:b/>
                <w:bCs/>
              </w:rPr>
            </w:pPr>
          </w:p>
        </w:tc>
        <w:tc>
          <w:tcPr>
            <w:tcW w:w="2124" w:type="dxa"/>
            <w:vAlign w:val="center"/>
          </w:tcPr>
          <w:p w14:paraId="171FBD76" w14:textId="2A55C1A8"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27</w:t>
            </w:r>
          </w:p>
        </w:tc>
        <w:tc>
          <w:tcPr>
            <w:tcW w:w="2124" w:type="dxa"/>
            <w:vAlign w:val="center"/>
          </w:tcPr>
          <w:p w14:paraId="37B414C9" w14:textId="260D9235"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14</w:t>
            </w:r>
          </w:p>
        </w:tc>
        <w:tc>
          <w:tcPr>
            <w:tcW w:w="2125" w:type="dxa"/>
            <w:vAlign w:val="center"/>
          </w:tcPr>
          <w:p w14:paraId="128E3059" w14:textId="5766371A" w:rsidR="00C9487A" w:rsidRPr="00B824AA" w:rsidRDefault="00C9487A" w:rsidP="00C9487A">
            <w:pPr>
              <w:jc w:val="center"/>
              <w:rPr>
                <w:rFonts w:ascii="Times New Roman" w:hAnsi="Times New Roman" w:cs="Times New Roman"/>
                <w:b/>
                <w:bCs/>
              </w:rPr>
            </w:pPr>
            <w:r w:rsidRPr="00B824AA">
              <w:rPr>
                <w:rFonts w:ascii="Times New Roman" w:hAnsi="Times New Roman" w:cs="Times New Roman"/>
                <w:b/>
                <w:bCs/>
              </w:rPr>
              <w:t>Polska – UE 13</w:t>
            </w:r>
          </w:p>
        </w:tc>
      </w:tr>
      <w:tr w:rsidR="00534A2E" w:rsidRPr="00B824AA" w14:paraId="37850058" w14:textId="77777777" w:rsidTr="005B1B67">
        <w:trPr>
          <w:trHeight w:val="322"/>
        </w:trPr>
        <w:tc>
          <w:tcPr>
            <w:tcW w:w="2689" w:type="dxa"/>
            <w:tcBorders>
              <w:bottom w:val="nil"/>
            </w:tcBorders>
            <w:vAlign w:val="center"/>
          </w:tcPr>
          <w:p w14:paraId="2EA5ADDE" w14:textId="77777777" w:rsidR="00534A2E" w:rsidRPr="00B824AA" w:rsidRDefault="00534A2E" w:rsidP="00CC3BD8">
            <w:pPr>
              <w:ind w:left="316"/>
              <w:rPr>
                <w:rFonts w:ascii="Times New Roman" w:hAnsi="Times New Roman" w:cs="Times New Roman"/>
                <w:b/>
                <w:bCs/>
              </w:rPr>
            </w:pPr>
            <w:r w:rsidRPr="00B824AA">
              <w:rPr>
                <w:rFonts w:ascii="Times New Roman" w:hAnsi="Times New Roman" w:cs="Times New Roman"/>
                <w:b/>
                <w:bCs/>
                <w:color w:val="000000"/>
              </w:rPr>
              <w:t>Ochrona środowiska</w:t>
            </w:r>
          </w:p>
        </w:tc>
        <w:tc>
          <w:tcPr>
            <w:tcW w:w="2124" w:type="dxa"/>
            <w:tcBorders>
              <w:bottom w:val="nil"/>
            </w:tcBorders>
          </w:tcPr>
          <w:p w14:paraId="250BFA30" w14:textId="77777777" w:rsidR="00534A2E" w:rsidRPr="00B824AA" w:rsidRDefault="00534A2E" w:rsidP="00CC3BD8">
            <w:pPr>
              <w:tabs>
                <w:tab w:val="decimal" w:pos="1135"/>
              </w:tabs>
              <w:rPr>
                <w:rFonts w:ascii="Times New Roman" w:hAnsi="Times New Roman" w:cs="Times New Roman"/>
                <w:b/>
                <w:bCs/>
              </w:rPr>
            </w:pPr>
          </w:p>
        </w:tc>
        <w:tc>
          <w:tcPr>
            <w:tcW w:w="2124" w:type="dxa"/>
            <w:tcBorders>
              <w:bottom w:val="nil"/>
            </w:tcBorders>
          </w:tcPr>
          <w:p w14:paraId="5789C36D" w14:textId="77777777" w:rsidR="00534A2E" w:rsidRPr="00B824AA" w:rsidRDefault="00534A2E" w:rsidP="00CC3BD8">
            <w:pPr>
              <w:tabs>
                <w:tab w:val="decimal" w:pos="1107"/>
              </w:tabs>
              <w:rPr>
                <w:rFonts w:ascii="Times New Roman" w:hAnsi="Times New Roman" w:cs="Times New Roman"/>
                <w:b/>
                <w:bCs/>
              </w:rPr>
            </w:pPr>
          </w:p>
        </w:tc>
        <w:tc>
          <w:tcPr>
            <w:tcW w:w="2125" w:type="dxa"/>
            <w:tcBorders>
              <w:bottom w:val="nil"/>
            </w:tcBorders>
          </w:tcPr>
          <w:p w14:paraId="5B1B0B15" w14:textId="77777777" w:rsidR="00534A2E" w:rsidRPr="00B824AA" w:rsidRDefault="00534A2E" w:rsidP="00CC3BD8">
            <w:pPr>
              <w:tabs>
                <w:tab w:val="decimal" w:pos="1221"/>
              </w:tabs>
              <w:rPr>
                <w:rFonts w:ascii="Times New Roman" w:hAnsi="Times New Roman" w:cs="Times New Roman"/>
                <w:b/>
                <w:bCs/>
              </w:rPr>
            </w:pPr>
          </w:p>
        </w:tc>
      </w:tr>
      <w:tr w:rsidR="00A66EBD" w:rsidRPr="00B824AA" w14:paraId="6DE832C2" w14:textId="77777777" w:rsidTr="00866620">
        <w:tc>
          <w:tcPr>
            <w:tcW w:w="2689" w:type="dxa"/>
            <w:tcBorders>
              <w:top w:val="nil"/>
              <w:bottom w:val="nil"/>
            </w:tcBorders>
            <w:vAlign w:val="center"/>
          </w:tcPr>
          <w:p w14:paraId="046AF009" w14:textId="77777777" w:rsidR="00A66EBD" w:rsidRPr="00130D8E" w:rsidRDefault="00A66EBD" w:rsidP="00584691">
            <w:pPr>
              <w:ind w:left="316"/>
              <w:rPr>
                <w:rFonts w:ascii="Times New Roman" w:hAnsi="Times New Roman" w:cs="Times New Roman"/>
                <w:b/>
                <w:bCs/>
              </w:rPr>
            </w:pPr>
            <w:r w:rsidRPr="00130D8E">
              <w:rPr>
                <w:rFonts w:ascii="Times New Roman" w:hAnsi="Times New Roman" w:cs="Times New Roman"/>
                <w:b/>
                <w:bCs/>
                <w:color w:val="000000"/>
              </w:rPr>
              <w:t>2010</w:t>
            </w:r>
          </w:p>
        </w:tc>
        <w:tc>
          <w:tcPr>
            <w:tcW w:w="2124" w:type="dxa"/>
            <w:tcBorders>
              <w:top w:val="nil"/>
              <w:bottom w:val="nil"/>
            </w:tcBorders>
          </w:tcPr>
          <w:p w14:paraId="1587485D" w14:textId="7BDE08FC" w:rsidR="00A66EBD" w:rsidRPr="00A66EBD" w:rsidRDefault="00A66EBD" w:rsidP="00584691">
            <w:pPr>
              <w:tabs>
                <w:tab w:val="decimal" w:pos="1135"/>
              </w:tabs>
              <w:rPr>
                <w:rFonts w:ascii="Times New Roman" w:hAnsi="Times New Roman" w:cs="Times New Roman"/>
                <w:b/>
                <w:bCs/>
              </w:rPr>
            </w:pPr>
            <w:r w:rsidRPr="00A66EBD">
              <w:rPr>
                <w:rFonts w:ascii="Times New Roman" w:hAnsi="Times New Roman" w:cs="Times New Roman"/>
                <w:b/>
              </w:rPr>
              <w:t>71</w:t>
            </w:r>
          </w:p>
        </w:tc>
        <w:tc>
          <w:tcPr>
            <w:tcW w:w="2124" w:type="dxa"/>
            <w:tcBorders>
              <w:top w:val="nil"/>
              <w:bottom w:val="nil"/>
            </w:tcBorders>
          </w:tcPr>
          <w:p w14:paraId="01EFC904" w14:textId="100BA4B6" w:rsidR="00A66EBD" w:rsidRPr="00A66EBD" w:rsidRDefault="00A66EBD" w:rsidP="00584691">
            <w:pPr>
              <w:tabs>
                <w:tab w:val="decimal" w:pos="1107"/>
              </w:tabs>
              <w:rPr>
                <w:rFonts w:ascii="Times New Roman" w:hAnsi="Times New Roman" w:cs="Times New Roman"/>
                <w:b/>
                <w:bCs/>
              </w:rPr>
            </w:pPr>
            <w:r w:rsidRPr="00A66EBD">
              <w:rPr>
                <w:rFonts w:ascii="Times New Roman" w:hAnsi="Times New Roman" w:cs="Times New Roman"/>
                <w:b/>
              </w:rPr>
              <w:t>69</w:t>
            </w:r>
          </w:p>
        </w:tc>
        <w:tc>
          <w:tcPr>
            <w:tcW w:w="2125" w:type="dxa"/>
            <w:tcBorders>
              <w:top w:val="nil"/>
              <w:bottom w:val="nil"/>
            </w:tcBorders>
          </w:tcPr>
          <w:p w14:paraId="66FF5EE4" w14:textId="29BA82A8" w:rsidR="00A66EBD" w:rsidRPr="00A66EBD" w:rsidRDefault="00A66EBD" w:rsidP="00584691">
            <w:pPr>
              <w:tabs>
                <w:tab w:val="decimal" w:pos="1221"/>
              </w:tabs>
              <w:rPr>
                <w:rFonts w:ascii="Times New Roman" w:hAnsi="Times New Roman" w:cs="Times New Roman"/>
                <w:b/>
                <w:bCs/>
              </w:rPr>
            </w:pPr>
            <w:r w:rsidRPr="00A66EBD">
              <w:rPr>
                <w:rFonts w:ascii="Times New Roman" w:hAnsi="Times New Roman" w:cs="Times New Roman"/>
                <w:b/>
              </w:rPr>
              <w:t>90</w:t>
            </w:r>
          </w:p>
        </w:tc>
      </w:tr>
      <w:tr w:rsidR="00A66EBD" w:rsidRPr="00B824AA" w14:paraId="77744395" w14:textId="77777777" w:rsidTr="00866620">
        <w:tc>
          <w:tcPr>
            <w:tcW w:w="2689" w:type="dxa"/>
            <w:tcBorders>
              <w:top w:val="nil"/>
              <w:bottom w:val="nil"/>
            </w:tcBorders>
            <w:vAlign w:val="center"/>
          </w:tcPr>
          <w:p w14:paraId="7FF03CD3" w14:textId="77777777" w:rsidR="00A66EBD" w:rsidRPr="00130D8E" w:rsidRDefault="00A66EBD" w:rsidP="00584691">
            <w:pPr>
              <w:ind w:left="316"/>
              <w:rPr>
                <w:rFonts w:ascii="Times New Roman" w:hAnsi="Times New Roman" w:cs="Times New Roman"/>
                <w:b/>
                <w:bCs/>
              </w:rPr>
            </w:pPr>
            <w:r w:rsidRPr="00130D8E">
              <w:rPr>
                <w:rFonts w:ascii="Times New Roman" w:hAnsi="Times New Roman" w:cs="Times New Roman"/>
                <w:b/>
                <w:bCs/>
                <w:color w:val="000000"/>
              </w:rPr>
              <w:t>2015</w:t>
            </w:r>
          </w:p>
        </w:tc>
        <w:tc>
          <w:tcPr>
            <w:tcW w:w="2124" w:type="dxa"/>
            <w:tcBorders>
              <w:top w:val="nil"/>
              <w:bottom w:val="nil"/>
            </w:tcBorders>
          </w:tcPr>
          <w:p w14:paraId="3E5A70B3" w14:textId="733324C5" w:rsidR="00A66EBD" w:rsidRPr="00A66EBD" w:rsidRDefault="00A66EBD" w:rsidP="00584691">
            <w:pPr>
              <w:tabs>
                <w:tab w:val="decimal" w:pos="1135"/>
              </w:tabs>
              <w:rPr>
                <w:rFonts w:ascii="Times New Roman" w:hAnsi="Times New Roman" w:cs="Times New Roman"/>
                <w:b/>
                <w:bCs/>
              </w:rPr>
            </w:pPr>
            <w:r w:rsidRPr="00A66EBD">
              <w:rPr>
                <w:rFonts w:ascii="Times New Roman" w:hAnsi="Times New Roman" w:cs="Times New Roman"/>
                <w:b/>
              </w:rPr>
              <w:t>71</w:t>
            </w:r>
          </w:p>
        </w:tc>
        <w:tc>
          <w:tcPr>
            <w:tcW w:w="2124" w:type="dxa"/>
            <w:tcBorders>
              <w:top w:val="nil"/>
              <w:bottom w:val="nil"/>
            </w:tcBorders>
          </w:tcPr>
          <w:p w14:paraId="2EA25B38" w14:textId="0C168D2F" w:rsidR="00A66EBD" w:rsidRPr="00A66EBD" w:rsidRDefault="00A66EBD" w:rsidP="00584691">
            <w:pPr>
              <w:tabs>
                <w:tab w:val="decimal" w:pos="1107"/>
              </w:tabs>
              <w:rPr>
                <w:rFonts w:ascii="Times New Roman" w:hAnsi="Times New Roman" w:cs="Times New Roman"/>
                <w:b/>
                <w:bCs/>
              </w:rPr>
            </w:pPr>
            <w:r w:rsidRPr="00A66EBD">
              <w:rPr>
                <w:rFonts w:ascii="Times New Roman" w:hAnsi="Times New Roman" w:cs="Times New Roman"/>
                <w:b/>
              </w:rPr>
              <w:t>68</w:t>
            </w:r>
          </w:p>
        </w:tc>
        <w:tc>
          <w:tcPr>
            <w:tcW w:w="2125" w:type="dxa"/>
            <w:tcBorders>
              <w:top w:val="nil"/>
              <w:bottom w:val="nil"/>
            </w:tcBorders>
          </w:tcPr>
          <w:p w14:paraId="2592452B" w14:textId="5833020A" w:rsidR="00A66EBD" w:rsidRPr="00A66EBD" w:rsidRDefault="00A66EBD" w:rsidP="00584691">
            <w:pPr>
              <w:tabs>
                <w:tab w:val="decimal" w:pos="1221"/>
              </w:tabs>
              <w:rPr>
                <w:rFonts w:ascii="Times New Roman" w:hAnsi="Times New Roman" w:cs="Times New Roman"/>
                <w:b/>
                <w:bCs/>
              </w:rPr>
            </w:pPr>
            <w:r w:rsidRPr="00A66EBD">
              <w:rPr>
                <w:rFonts w:ascii="Times New Roman" w:hAnsi="Times New Roman" w:cs="Times New Roman"/>
                <w:b/>
              </w:rPr>
              <w:t>93</w:t>
            </w:r>
          </w:p>
        </w:tc>
      </w:tr>
      <w:tr w:rsidR="00A66EBD" w:rsidRPr="00B824AA" w14:paraId="582A11B6" w14:textId="77777777" w:rsidTr="00866620">
        <w:tc>
          <w:tcPr>
            <w:tcW w:w="2689" w:type="dxa"/>
            <w:tcBorders>
              <w:top w:val="nil"/>
              <w:bottom w:val="nil"/>
            </w:tcBorders>
            <w:vAlign w:val="center"/>
          </w:tcPr>
          <w:p w14:paraId="4251977A" w14:textId="77777777" w:rsidR="00A66EBD" w:rsidRPr="00130D8E" w:rsidRDefault="00A66EBD" w:rsidP="00584691">
            <w:pPr>
              <w:ind w:left="316"/>
              <w:rPr>
                <w:rFonts w:ascii="Times New Roman" w:hAnsi="Times New Roman" w:cs="Times New Roman"/>
                <w:b/>
                <w:bCs/>
              </w:rPr>
            </w:pPr>
            <w:r w:rsidRPr="00130D8E">
              <w:rPr>
                <w:rFonts w:ascii="Times New Roman" w:hAnsi="Times New Roman" w:cs="Times New Roman"/>
                <w:b/>
                <w:bCs/>
                <w:color w:val="000000"/>
              </w:rPr>
              <w:t>2020</w:t>
            </w:r>
          </w:p>
        </w:tc>
        <w:tc>
          <w:tcPr>
            <w:tcW w:w="2124" w:type="dxa"/>
            <w:tcBorders>
              <w:top w:val="nil"/>
              <w:bottom w:val="nil"/>
            </w:tcBorders>
          </w:tcPr>
          <w:p w14:paraId="4F2CEFF9" w14:textId="37E21BCA" w:rsidR="00A66EBD" w:rsidRPr="00A66EBD" w:rsidRDefault="00A66EBD" w:rsidP="00584691">
            <w:pPr>
              <w:tabs>
                <w:tab w:val="decimal" w:pos="1135"/>
              </w:tabs>
              <w:rPr>
                <w:rFonts w:ascii="Times New Roman" w:hAnsi="Times New Roman" w:cs="Times New Roman"/>
                <w:b/>
                <w:bCs/>
              </w:rPr>
            </w:pPr>
            <w:r w:rsidRPr="00A66EBD">
              <w:rPr>
                <w:rFonts w:ascii="Times New Roman" w:hAnsi="Times New Roman" w:cs="Times New Roman"/>
                <w:b/>
              </w:rPr>
              <w:t>66</w:t>
            </w:r>
          </w:p>
        </w:tc>
        <w:tc>
          <w:tcPr>
            <w:tcW w:w="2124" w:type="dxa"/>
            <w:tcBorders>
              <w:top w:val="nil"/>
              <w:bottom w:val="nil"/>
            </w:tcBorders>
          </w:tcPr>
          <w:p w14:paraId="09FEF655" w14:textId="7850EC45" w:rsidR="00A66EBD" w:rsidRPr="00A66EBD" w:rsidRDefault="00A66EBD" w:rsidP="00584691">
            <w:pPr>
              <w:tabs>
                <w:tab w:val="decimal" w:pos="1107"/>
              </w:tabs>
              <w:rPr>
                <w:rFonts w:ascii="Times New Roman" w:hAnsi="Times New Roman" w:cs="Times New Roman"/>
                <w:b/>
                <w:bCs/>
              </w:rPr>
            </w:pPr>
            <w:r w:rsidRPr="00A66EBD">
              <w:rPr>
                <w:rFonts w:ascii="Times New Roman" w:hAnsi="Times New Roman" w:cs="Times New Roman"/>
                <w:b/>
              </w:rPr>
              <w:t>62</w:t>
            </w:r>
          </w:p>
        </w:tc>
        <w:tc>
          <w:tcPr>
            <w:tcW w:w="2125" w:type="dxa"/>
            <w:tcBorders>
              <w:top w:val="nil"/>
              <w:bottom w:val="nil"/>
            </w:tcBorders>
          </w:tcPr>
          <w:p w14:paraId="153CCA50" w14:textId="538515BE" w:rsidR="00A66EBD" w:rsidRPr="00A66EBD" w:rsidRDefault="00A66EBD" w:rsidP="00584691">
            <w:pPr>
              <w:tabs>
                <w:tab w:val="decimal" w:pos="1221"/>
              </w:tabs>
              <w:rPr>
                <w:rFonts w:ascii="Times New Roman" w:hAnsi="Times New Roman" w:cs="Times New Roman"/>
                <w:b/>
                <w:bCs/>
              </w:rPr>
            </w:pPr>
            <w:r w:rsidRPr="00A66EBD">
              <w:rPr>
                <w:rFonts w:ascii="Times New Roman" w:hAnsi="Times New Roman" w:cs="Times New Roman"/>
                <w:b/>
              </w:rPr>
              <w:t>92</w:t>
            </w:r>
          </w:p>
        </w:tc>
      </w:tr>
      <w:tr w:rsidR="00A66EBD" w:rsidRPr="00B824AA" w14:paraId="0840DCD7" w14:textId="77777777" w:rsidTr="00866620">
        <w:tc>
          <w:tcPr>
            <w:tcW w:w="2689" w:type="dxa"/>
            <w:tcBorders>
              <w:top w:val="nil"/>
              <w:bottom w:val="nil"/>
            </w:tcBorders>
            <w:vAlign w:val="center"/>
          </w:tcPr>
          <w:p w14:paraId="145C92D6" w14:textId="77777777" w:rsidR="00A66EBD" w:rsidRPr="00130D8E" w:rsidRDefault="00A66EBD" w:rsidP="00584691">
            <w:pPr>
              <w:ind w:left="316"/>
              <w:rPr>
                <w:rFonts w:ascii="Times New Roman" w:hAnsi="Times New Roman" w:cs="Times New Roman"/>
                <w:b/>
                <w:bCs/>
              </w:rPr>
            </w:pPr>
            <w:r w:rsidRPr="00130D8E">
              <w:rPr>
                <w:rFonts w:ascii="Times New Roman" w:hAnsi="Times New Roman" w:cs="Times New Roman"/>
                <w:b/>
                <w:bCs/>
                <w:color w:val="000000"/>
              </w:rPr>
              <w:t>2021</w:t>
            </w:r>
          </w:p>
        </w:tc>
        <w:tc>
          <w:tcPr>
            <w:tcW w:w="2124" w:type="dxa"/>
            <w:tcBorders>
              <w:top w:val="nil"/>
              <w:bottom w:val="nil"/>
            </w:tcBorders>
          </w:tcPr>
          <w:p w14:paraId="3E79E8C5" w14:textId="339FEB79" w:rsidR="00A66EBD" w:rsidRPr="00A66EBD" w:rsidRDefault="00A66EBD" w:rsidP="00584691">
            <w:pPr>
              <w:tabs>
                <w:tab w:val="decimal" w:pos="1135"/>
              </w:tabs>
              <w:rPr>
                <w:rFonts w:ascii="Times New Roman" w:hAnsi="Times New Roman" w:cs="Times New Roman"/>
                <w:b/>
                <w:bCs/>
              </w:rPr>
            </w:pPr>
            <w:r w:rsidRPr="00A66EBD">
              <w:rPr>
                <w:rFonts w:ascii="Times New Roman" w:hAnsi="Times New Roman" w:cs="Times New Roman"/>
                <w:b/>
              </w:rPr>
              <w:t>71</w:t>
            </w:r>
          </w:p>
        </w:tc>
        <w:tc>
          <w:tcPr>
            <w:tcW w:w="2124" w:type="dxa"/>
            <w:tcBorders>
              <w:top w:val="nil"/>
              <w:bottom w:val="nil"/>
            </w:tcBorders>
          </w:tcPr>
          <w:p w14:paraId="65E39CEA" w14:textId="19194572" w:rsidR="00A66EBD" w:rsidRPr="00A66EBD" w:rsidRDefault="00A66EBD" w:rsidP="00584691">
            <w:pPr>
              <w:tabs>
                <w:tab w:val="decimal" w:pos="1107"/>
              </w:tabs>
              <w:rPr>
                <w:rFonts w:ascii="Times New Roman" w:hAnsi="Times New Roman" w:cs="Times New Roman"/>
                <w:b/>
                <w:bCs/>
              </w:rPr>
            </w:pPr>
            <w:r w:rsidRPr="00A66EBD">
              <w:rPr>
                <w:rFonts w:ascii="Times New Roman" w:hAnsi="Times New Roman" w:cs="Times New Roman"/>
                <w:b/>
              </w:rPr>
              <w:t>70</w:t>
            </w:r>
          </w:p>
        </w:tc>
        <w:tc>
          <w:tcPr>
            <w:tcW w:w="2125" w:type="dxa"/>
            <w:tcBorders>
              <w:top w:val="nil"/>
              <w:bottom w:val="nil"/>
            </w:tcBorders>
          </w:tcPr>
          <w:p w14:paraId="6807A48E" w14:textId="7989DAA3" w:rsidR="00A66EBD" w:rsidRPr="00A66EBD" w:rsidRDefault="00A66EBD" w:rsidP="00584691">
            <w:pPr>
              <w:tabs>
                <w:tab w:val="decimal" w:pos="1221"/>
              </w:tabs>
              <w:rPr>
                <w:rFonts w:ascii="Times New Roman" w:hAnsi="Times New Roman" w:cs="Times New Roman"/>
                <w:b/>
                <w:bCs/>
              </w:rPr>
            </w:pPr>
            <w:r w:rsidRPr="00A66EBD">
              <w:rPr>
                <w:rFonts w:ascii="Times New Roman" w:hAnsi="Times New Roman" w:cs="Times New Roman"/>
                <w:b/>
              </w:rPr>
              <w:t>94</w:t>
            </w:r>
          </w:p>
        </w:tc>
      </w:tr>
      <w:tr w:rsidR="00A66EBD" w:rsidRPr="00B824AA" w14:paraId="16E63968" w14:textId="77777777" w:rsidTr="00866620">
        <w:tc>
          <w:tcPr>
            <w:tcW w:w="2689" w:type="dxa"/>
            <w:tcBorders>
              <w:top w:val="nil"/>
              <w:bottom w:val="nil"/>
            </w:tcBorders>
            <w:vAlign w:val="center"/>
          </w:tcPr>
          <w:p w14:paraId="5EF11D73" w14:textId="2571C8F4" w:rsidR="00A66EBD" w:rsidRPr="00130D8E" w:rsidRDefault="00A66EBD" w:rsidP="00584691">
            <w:pPr>
              <w:ind w:left="316"/>
              <w:rPr>
                <w:rFonts w:ascii="Times New Roman" w:hAnsi="Times New Roman" w:cs="Times New Roman"/>
                <w:b/>
                <w:bCs/>
                <w:color w:val="000000"/>
              </w:rPr>
            </w:pPr>
            <w:r>
              <w:rPr>
                <w:rFonts w:ascii="Times New Roman" w:hAnsi="Times New Roman" w:cs="Times New Roman"/>
                <w:b/>
                <w:bCs/>
                <w:color w:val="000000"/>
              </w:rPr>
              <w:t>2022</w:t>
            </w:r>
          </w:p>
        </w:tc>
        <w:tc>
          <w:tcPr>
            <w:tcW w:w="2124" w:type="dxa"/>
            <w:tcBorders>
              <w:top w:val="nil"/>
              <w:bottom w:val="nil"/>
            </w:tcBorders>
          </w:tcPr>
          <w:p w14:paraId="6303B219" w14:textId="38959035" w:rsidR="00A66EBD" w:rsidRPr="00A66EBD" w:rsidRDefault="00A66EBD" w:rsidP="00584691">
            <w:pPr>
              <w:tabs>
                <w:tab w:val="decimal" w:pos="1135"/>
              </w:tabs>
              <w:rPr>
                <w:rFonts w:ascii="Times New Roman" w:hAnsi="Times New Roman" w:cs="Times New Roman"/>
                <w:b/>
                <w:bCs/>
                <w:color w:val="000000"/>
              </w:rPr>
            </w:pPr>
            <w:r w:rsidRPr="00A66EBD">
              <w:rPr>
                <w:rFonts w:ascii="Times New Roman" w:hAnsi="Times New Roman" w:cs="Times New Roman"/>
                <w:b/>
              </w:rPr>
              <w:t>67</w:t>
            </w:r>
          </w:p>
        </w:tc>
        <w:tc>
          <w:tcPr>
            <w:tcW w:w="2124" w:type="dxa"/>
            <w:tcBorders>
              <w:top w:val="nil"/>
              <w:bottom w:val="nil"/>
            </w:tcBorders>
          </w:tcPr>
          <w:p w14:paraId="1FD44373" w14:textId="5CCA17CB" w:rsidR="00A66EBD" w:rsidRPr="00A66EBD" w:rsidRDefault="00A66EBD" w:rsidP="00584691">
            <w:pPr>
              <w:tabs>
                <w:tab w:val="decimal" w:pos="1107"/>
              </w:tabs>
              <w:rPr>
                <w:rFonts w:ascii="Times New Roman" w:hAnsi="Times New Roman" w:cs="Times New Roman"/>
                <w:b/>
                <w:bCs/>
                <w:color w:val="000000"/>
              </w:rPr>
            </w:pPr>
            <w:r w:rsidRPr="00A66EBD">
              <w:rPr>
                <w:rFonts w:ascii="Times New Roman" w:hAnsi="Times New Roman" w:cs="Times New Roman"/>
                <w:b/>
              </w:rPr>
              <w:t>64</w:t>
            </w:r>
          </w:p>
        </w:tc>
        <w:tc>
          <w:tcPr>
            <w:tcW w:w="2125" w:type="dxa"/>
            <w:tcBorders>
              <w:top w:val="nil"/>
              <w:bottom w:val="nil"/>
            </w:tcBorders>
          </w:tcPr>
          <w:p w14:paraId="2D2C4881" w14:textId="4FFFBF15" w:rsidR="00A66EBD" w:rsidRPr="00A66EBD" w:rsidRDefault="00A66EBD" w:rsidP="00584691">
            <w:pPr>
              <w:tabs>
                <w:tab w:val="decimal" w:pos="1221"/>
              </w:tabs>
              <w:rPr>
                <w:rFonts w:ascii="Times New Roman" w:hAnsi="Times New Roman" w:cs="Times New Roman"/>
                <w:b/>
                <w:bCs/>
                <w:color w:val="000000"/>
              </w:rPr>
            </w:pPr>
            <w:r w:rsidRPr="00A66EBD">
              <w:rPr>
                <w:rFonts w:ascii="Times New Roman" w:hAnsi="Times New Roman" w:cs="Times New Roman"/>
                <w:b/>
              </w:rPr>
              <w:t>93</w:t>
            </w:r>
          </w:p>
        </w:tc>
      </w:tr>
      <w:tr w:rsidR="00866620" w:rsidRPr="00B824AA" w14:paraId="7146BDC1" w14:textId="77777777" w:rsidTr="00866620">
        <w:tc>
          <w:tcPr>
            <w:tcW w:w="2689" w:type="dxa"/>
            <w:tcBorders>
              <w:top w:val="nil"/>
              <w:bottom w:val="nil"/>
            </w:tcBorders>
            <w:vAlign w:val="center"/>
          </w:tcPr>
          <w:p w14:paraId="1155E2BB" w14:textId="77777777" w:rsidR="00866620" w:rsidRDefault="00866620" w:rsidP="00584691">
            <w:pPr>
              <w:ind w:left="316"/>
              <w:rPr>
                <w:rFonts w:ascii="Times New Roman" w:hAnsi="Times New Roman" w:cs="Times New Roman"/>
                <w:b/>
                <w:bCs/>
                <w:color w:val="000000"/>
              </w:rPr>
            </w:pPr>
          </w:p>
        </w:tc>
        <w:tc>
          <w:tcPr>
            <w:tcW w:w="2124" w:type="dxa"/>
            <w:tcBorders>
              <w:top w:val="nil"/>
              <w:bottom w:val="nil"/>
            </w:tcBorders>
          </w:tcPr>
          <w:p w14:paraId="26E7D0DD" w14:textId="77777777" w:rsidR="00866620" w:rsidRPr="00A66EBD" w:rsidRDefault="00866620" w:rsidP="00584691">
            <w:pPr>
              <w:tabs>
                <w:tab w:val="decimal" w:pos="1135"/>
              </w:tabs>
              <w:rPr>
                <w:rFonts w:ascii="Times New Roman" w:hAnsi="Times New Roman" w:cs="Times New Roman"/>
                <w:b/>
              </w:rPr>
            </w:pPr>
          </w:p>
        </w:tc>
        <w:tc>
          <w:tcPr>
            <w:tcW w:w="2124" w:type="dxa"/>
            <w:tcBorders>
              <w:top w:val="nil"/>
              <w:bottom w:val="nil"/>
            </w:tcBorders>
          </w:tcPr>
          <w:p w14:paraId="26447937" w14:textId="77777777" w:rsidR="00866620" w:rsidRPr="00A66EBD" w:rsidRDefault="00866620" w:rsidP="00584691">
            <w:pPr>
              <w:tabs>
                <w:tab w:val="decimal" w:pos="1107"/>
              </w:tabs>
              <w:rPr>
                <w:rFonts w:ascii="Times New Roman" w:hAnsi="Times New Roman" w:cs="Times New Roman"/>
                <w:b/>
              </w:rPr>
            </w:pPr>
          </w:p>
        </w:tc>
        <w:tc>
          <w:tcPr>
            <w:tcW w:w="2125" w:type="dxa"/>
            <w:tcBorders>
              <w:top w:val="nil"/>
              <w:bottom w:val="nil"/>
            </w:tcBorders>
          </w:tcPr>
          <w:p w14:paraId="2BEAFF09" w14:textId="77777777" w:rsidR="00866620" w:rsidRPr="00A66EBD" w:rsidRDefault="00866620" w:rsidP="00584691">
            <w:pPr>
              <w:tabs>
                <w:tab w:val="decimal" w:pos="1221"/>
              </w:tabs>
              <w:rPr>
                <w:rFonts w:ascii="Times New Roman" w:hAnsi="Times New Roman" w:cs="Times New Roman"/>
                <w:b/>
              </w:rPr>
            </w:pPr>
          </w:p>
        </w:tc>
      </w:tr>
      <w:tr w:rsidR="00534A2E" w:rsidRPr="00B824AA" w14:paraId="46CCB606" w14:textId="77777777" w:rsidTr="005B1B67">
        <w:tc>
          <w:tcPr>
            <w:tcW w:w="2689" w:type="dxa"/>
            <w:tcBorders>
              <w:top w:val="nil"/>
              <w:bottom w:val="nil"/>
            </w:tcBorders>
            <w:vAlign w:val="center"/>
          </w:tcPr>
          <w:p w14:paraId="687C706D" w14:textId="77777777" w:rsidR="00534A2E" w:rsidRPr="00B824AA" w:rsidRDefault="00534A2E" w:rsidP="00CC3BD8">
            <w:pPr>
              <w:ind w:left="316"/>
              <w:rPr>
                <w:rFonts w:ascii="Times New Roman" w:hAnsi="Times New Roman" w:cs="Times New Roman"/>
              </w:rPr>
            </w:pPr>
            <w:r w:rsidRPr="00B824AA">
              <w:rPr>
                <w:rFonts w:ascii="Times New Roman" w:hAnsi="Times New Roman" w:cs="Times New Roman"/>
              </w:rPr>
              <w:t>Odpady komunalne</w:t>
            </w:r>
          </w:p>
        </w:tc>
        <w:tc>
          <w:tcPr>
            <w:tcW w:w="2124" w:type="dxa"/>
            <w:tcBorders>
              <w:top w:val="nil"/>
              <w:bottom w:val="nil"/>
            </w:tcBorders>
            <w:vAlign w:val="bottom"/>
          </w:tcPr>
          <w:p w14:paraId="08F1F612"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vAlign w:val="bottom"/>
          </w:tcPr>
          <w:p w14:paraId="4579B64E"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vAlign w:val="bottom"/>
          </w:tcPr>
          <w:p w14:paraId="695396CA" w14:textId="77777777" w:rsidR="00534A2E" w:rsidRPr="00B824AA" w:rsidRDefault="00534A2E" w:rsidP="00CC3BD8">
            <w:pPr>
              <w:tabs>
                <w:tab w:val="decimal" w:pos="1221"/>
              </w:tabs>
              <w:rPr>
                <w:rFonts w:ascii="Times New Roman" w:hAnsi="Times New Roman" w:cs="Times New Roman"/>
              </w:rPr>
            </w:pPr>
          </w:p>
        </w:tc>
      </w:tr>
      <w:tr w:rsidR="00C543BE" w:rsidRPr="00B824AA" w14:paraId="1E38C0AE" w14:textId="77777777" w:rsidTr="009A62BF">
        <w:tc>
          <w:tcPr>
            <w:tcW w:w="2689" w:type="dxa"/>
            <w:tcBorders>
              <w:top w:val="nil"/>
              <w:bottom w:val="nil"/>
            </w:tcBorders>
            <w:vAlign w:val="center"/>
          </w:tcPr>
          <w:p w14:paraId="366FDA93" w14:textId="77777777" w:rsidR="00C543BE" w:rsidRPr="00B824AA" w:rsidRDefault="00C543BE" w:rsidP="00584691">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7C20FD6F" w14:textId="7DADFAD8" w:rsidR="00C543BE" w:rsidRPr="00C543BE" w:rsidRDefault="00C543BE" w:rsidP="00584691">
            <w:pPr>
              <w:tabs>
                <w:tab w:val="decimal" w:pos="1135"/>
              </w:tabs>
              <w:rPr>
                <w:rFonts w:ascii="Times New Roman" w:hAnsi="Times New Roman" w:cs="Times New Roman"/>
              </w:rPr>
            </w:pPr>
            <w:r w:rsidRPr="00C543BE">
              <w:rPr>
                <w:rFonts w:ascii="Times New Roman" w:hAnsi="Times New Roman" w:cs="Times New Roman"/>
              </w:rPr>
              <w:t>151</w:t>
            </w:r>
          </w:p>
        </w:tc>
        <w:tc>
          <w:tcPr>
            <w:tcW w:w="2124" w:type="dxa"/>
            <w:tcBorders>
              <w:top w:val="nil"/>
              <w:bottom w:val="nil"/>
            </w:tcBorders>
          </w:tcPr>
          <w:p w14:paraId="18A788D5" w14:textId="167D36D1" w:rsidR="00C543BE" w:rsidRPr="00C543BE" w:rsidRDefault="00C543BE" w:rsidP="00584691">
            <w:pPr>
              <w:tabs>
                <w:tab w:val="decimal" w:pos="1107"/>
              </w:tabs>
              <w:rPr>
                <w:rFonts w:ascii="Times New Roman" w:hAnsi="Times New Roman" w:cs="Times New Roman"/>
              </w:rPr>
            </w:pPr>
            <w:r w:rsidRPr="00C543BE">
              <w:rPr>
                <w:rFonts w:ascii="Times New Roman" w:hAnsi="Times New Roman" w:cs="Times New Roman"/>
              </w:rPr>
              <w:t>173</w:t>
            </w:r>
          </w:p>
        </w:tc>
        <w:tc>
          <w:tcPr>
            <w:tcW w:w="2125" w:type="dxa"/>
            <w:tcBorders>
              <w:top w:val="nil"/>
              <w:bottom w:val="nil"/>
            </w:tcBorders>
          </w:tcPr>
          <w:p w14:paraId="6E391071" w14:textId="5CACBDA0" w:rsidR="00C543BE" w:rsidRPr="00C543BE" w:rsidRDefault="00C543BE" w:rsidP="00584691">
            <w:pPr>
              <w:tabs>
                <w:tab w:val="decimal" w:pos="1221"/>
              </w:tabs>
              <w:rPr>
                <w:rFonts w:ascii="Times New Roman" w:hAnsi="Times New Roman" w:cs="Times New Roman"/>
              </w:rPr>
            </w:pPr>
            <w:r w:rsidRPr="00C543BE">
              <w:rPr>
                <w:rFonts w:ascii="Times New Roman" w:hAnsi="Times New Roman" w:cs="Times New Roman"/>
              </w:rPr>
              <w:t>108</w:t>
            </w:r>
          </w:p>
        </w:tc>
      </w:tr>
      <w:tr w:rsidR="00C543BE" w:rsidRPr="00B824AA" w14:paraId="73D1DE6F" w14:textId="77777777" w:rsidTr="009A62BF">
        <w:tc>
          <w:tcPr>
            <w:tcW w:w="2689" w:type="dxa"/>
            <w:tcBorders>
              <w:top w:val="nil"/>
              <w:bottom w:val="nil"/>
            </w:tcBorders>
            <w:vAlign w:val="center"/>
          </w:tcPr>
          <w:p w14:paraId="02448FFB" w14:textId="77777777" w:rsidR="00C543BE" w:rsidRPr="00B824AA" w:rsidRDefault="00C543BE" w:rsidP="00584691">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1B544F93" w14:textId="69F38AD3" w:rsidR="00C543BE" w:rsidRPr="00C543BE" w:rsidRDefault="00C543BE" w:rsidP="00584691">
            <w:pPr>
              <w:tabs>
                <w:tab w:val="decimal" w:pos="1135"/>
              </w:tabs>
              <w:rPr>
                <w:rFonts w:ascii="Times New Roman" w:hAnsi="Times New Roman" w:cs="Times New Roman"/>
              </w:rPr>
            </w:pPr>
            <w:r w:rsidRPr="00C543BE">
              <w:rPr>
                <w:rFonts w:ascii="Times New Roman" w:hAnsi="Times New Roman" w:cs="Times New Roman"/>
              </w:rPr>
              <w:t>156</w:t>
            </w:r>
          </w:p>
        </w:tc>
        <w:tc>
          <w:tcPr>
            <w:tcW w:w="2124" w:type="dxa"/>
            <w:tcBorders>
              <w:top w:val="nil"/>
              <w:bottom w:val="nil"/>
            </w:tcBorders>
          </w:tcPr>
          <w:p w14:paraId="0C7D8782" w14:textId="3F21A97A" w:rsidR="00C543BE" w:rsidRPr="00C543BE" w:rsidRDefault="00C543BE" w:rsidP="00584691">
            <w:pPr>
              <w:tabs>
                <w:tab w:val="decimal" w:pos="1107"/>
              </w:tabs>
              <w:rPr>
                <w:rFonts w:ascii="Times New Roman" w:hAnsi="Times New Roman" w:cs="Times New Roman"/>
              </w:rPr>
            </w:pPr>
            <w:r w:rsidRPr="00C543BE">
              <w:rPr>
                <w:rFonts w:ascii="Times New Roman" w:hAnsi="Times New Roman" w:cs="Times New Roman"/>
              </w:rPr>
              <w:t>182</w:t>
            </w:r>
          </w:p>
        </w:tc>
        <w:tc>
          <w:tcPr>
            <w:tcW w:w="2125" w:type="dxa"/>
            <w:tcBorders>
              <w:top w:val="nil"/>
              <w:bottom w:val="nil"/>
            </w:tcBorders>
          </w:tcPr>
          <w:p w14:paraId="46C44D2F" w14:textId="096F8B95" w:rsidR="00C543BE" w:rsidRPr="00C543BE" w:rsidRDefault="00C543BE" w:rsidP="00584691">
            <w:pPr>
              <w:tabs>
                <w:tab w:val="decimal" w:pos="1221"/>
              </w:tabs>
              <w:rPr>
                <w:rFonts w:ascii="Times New Roman" w:hAnsi="Times New Roman" w:cs="Times New Roman"/>
              </w:rPr>
            </w:pPr>
            <w:r w:rsidRPr="00C543BE">
              <w:rPr>
                <w:rFonts w:ascii="Times New Roman" w:hAnsi="Times New Roman" w:cs="Times New Roman"/>
              </w:rPr>
              <w:t>108</w:t>
            </w:r>
          </w:p>
        </w:tc>
      </w:tr>
      <w:tr w:rsidR="00C543BE" w:rsidRPr="00B824AA" w14:paraId="72C2632F" w14:textId="77777777" w:rsidTr="009A62BF">
        <w:tc>
          <w:tcPr>
            <w:tcW w:w="2689" w:type="dxa"/>
            <w:tcBorders>
              <w:top w:val="nil"/>
              <w:bottom w:val="nil"/>
            </w:tcBorders>
            <w:vAlign w:val="center"/>
          </w:tcPr>
          <w:p w14:paraId="554F4AC6" w14:textId="77777777" w:rsidR="00C543BE" w:rsidRPr="00B824AA" w:rsidRDefault="00C543BE" w:rsidP="00584691">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5DF470E9" w14:textId="174A99F0" w:rsidR="00C543BE" w:rsidRPr="00C543BE" w:rsidRDefault="00C543BE" w:rsidP="00584691">
            <w:pPr>
              <w:tabs>
                <w:tab w:val="decimal" w:pos="1135"/>
              </w:tabs>
              <w:rPr>
                <w:rFonts w:ascii="Times New Roman" w:hAnsi="Times New Roman" w:cs="Times New Roman"/>
              </w:rPr>
            </w:pPr>
            <w:r w:rsidRPr="00C543BE">
              <w:rPr>
                <w:rFonts w:ascii="Times New Roman" w:hAnsi="Times New Roman" w:cs="Times New Roman"/>
              </w:rPr>
              <w:t>139</w:t>
            </w:r>
          </w:p>
        </w:tc>
        <w:tc>
          <w:tcPr>
            <w:tcW w:w="2124" w:type="dxa"/>
            <w:tcBorders>
              <w:top w:val="nil"/>
              <w:bottom w:val="nil"/>
            </w:tcBorders>
          </w:tcPr>
          <w:p w14:paraId="059C7277" w14:textId="2400589E" w:rsidR="00C543BE" w:rsidRPr="00C543BE" w:rsidRDefault="00C543BE" w:rsidP="00584691">
            <w:pPr>
              <w:tabs>
                <w:tab w:val="decimal" w:pos="1107"/>
              </w:tabs>
              <w:rPr>
                <w:rFonts w:ascii="Times New Roman" w:hAnsi="Times New Roman" w:cs="Times New Roman"/>
              </w:rPr>
            </w:pPr>
            <w:r w:rsidRPr="00C543BE">
              <w:rPr>
                <w:rFonts w:ascii="Times New Roman" w:hAnsi="Times New Roman" w:cs="Times New Roman"/>
              </w:rPr>
              <w:t>154</w:t>
            </w:r>
          </w:p>
        </w:tc>
        <w:tc>
          <w:tcPr>
            <w:tcW w:w="2125" w:type="dxa"/>
            <w:tcBorders>
              <w:top w:val="nil"/>
              <w:bottom w:val="nil"/>
            </w:tcBorders>
          </w:tcPr>
          <w:p w14:paraId="5DDFEE36" w14:textId="3C54635D" w:rsidR="00C543BE" w:rsidRPr="00C543BE" w:rsidRDefault="00C543BE" w:rsidP="00584691">
            <w:pPr>
              <w:tabs>
                <w:tab w:val="decimal" w:pos="1221"/>
              </w:tabs>
              <w:rPr>
                <w:rFonts w:ascii="Times New Roman" w:hAnsi="Times New Roman" w:cs="Times New Roman"/>
              </w:rPr>
            </w:pPr>
            <w:r w:rsidRPr="00C543BE">
              <w:rPr>
                <w:rFonts w:ascii="Times New Roman" w:hAnsi="Times New Roman" w:cs="Times New Roman"/>
              </w:rPr>
              <w:t>106</w:t>
            </w:r>
          </w:p>
        </w:tc>
      </w:tr>
      <w:tr w:rsidR="00C543BE" w:rsidRPr="00B824AA" w14:paraId="45B36FC7" w14:textId="77777777" w:rsidTr="009A62BF">
        <w:tc>
          <w:tcPr>
            <w:tcW w:w="2689" w:type="dxa"/>
            <w:tcBorders>
              <w:top w:val="nil"/>
              <w:bottom w:val="nil"/>
            </w:tcBorders>
            <w:vAlign w:val="center"/>
          </w:tcPr>
          <w:p w14:paraId="3B64E43F" w14:textId="77777777" w:rsidR="00C543BE" w:rsidRPr="00B824AA" w:rsidRDefault="00C543BE" w:rsidP="00584691">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28950AF2" w14:textId="0C74C8F2" w:rsidR="00C543BE" w:rsidRPr="00C543BE" w:rsidRDefault="00C543BE" w:rsidP="00584691">
            <w:pPr>
              <w:tabs>
                <w:tab w:val="decimal" w:pos="1135"/>
              </w:tabs>
              <w:rPr>
                <w:rFonts w:ascii="Times New Roman" w:hAnsi="Times New Roman" w:cs="Times New Roman"/>
              </w:rPr>
            </w:pPr>
            <w:r w:rsidRPr="00C543BE">
              <w:rPr>
                <w:rFonts w:ascii="Times New Roman" w:hAnsi="Times New Roman" w:cs="Times New Roman"/>
              </w:rPr>
              <w:t>139</w:t>
            </w:r>
          </w:p>
        </w:tc>
        <w:tc>
          <w:tcPr>
            <w:tcW w:w="2124" w:type="dxa"/>
            <w:tcBorders>
              <w:top w:val="nil"/>
              <w:bottom w:val="nil"/>
            </w:tcBorders>
          </w:tcPr>
          <w:p w14:paraId="78D1B962" w14:textId="774D9D70" w:rsidR="00C543BE" w:rsidRPr="00C543BE" w:rsidRDefault="00C543BE" w:rsidP="00584691">
            <w:pPr>
              <w:tabs>
                <w:tab w:val="decimal" w:pos="1107"/>
              </w:tabs>
              <w:rPr>
                <w:rFonts w:ascii="Times New Roman" w:hAnsi="Times New Roman" w:cs="Times New Roman"/>
              </w:rPr>
            </w:pPr>
            <w:r w:rsidRPr="00C543BE">
              <w:rPr>
                <w:rFonts w:ascii="Times New Roman" w:hAnsi="Times New Roman" w:cs="Times New Roman"/>
              </w:rPr>
              <w:t>153</w:t>
            </w:r>
          </w:p>
        </w:tc>
        <w:tc>
          <w:tcPr>
            <w:tcW w:w="2125" w:type="dxa"/>
            <w:tcBorders>
              <w:top w:val="nil"/>
              <w:bottom w:val="nil"/>
            </w:tcBorders>
          </w:tcPr>
          <w:p w14:paraId="20C1CBC8" w14:textId="779DD45C" w:rsidR="00C543BE" w:rsidRPr="00C543BE" w:rsidRDefault="00C543BE" w:rsidP="00584691">
            <w:pPr>
              <w:tabs>
                <w:tab w:val="decimal" w:pos="1221"/>
              </w:tabs>
              <w:rPr>
                <w:rFonts w:ascii="Times New Roman" w:hAnsi="Times New Roman" w:cs="Times New Roman"/>
              </w:rPr>
            </w:pPr>
            <w:r w:rsidRPr="00C543BE">
              <w:rPr>
                <w:rFonts w:ascii="Times New Roman" w:hAnsi="Times New Roman" w:cs="Times New Roman"/>
              </w:rPr>
              <w:t>107</w:t>
            </w:r>
          </w:p>
        </w:tc>
      </w:tr>
      <w:tr w:rsidR="00C543BE" w:rsidRPr="00B824AA" w14:paraId="717939EA" w14:textId="77777777" w:rsidTr="009A62BF">
        <w:tc>
          <w:tcPr>
            <w:tcW w:w="2689" w:type="dxa"/>
            <w:tcBorders>
              <w:top w:val="nil"/>
              <w:bottom w:val="nil"/>
            </w:tcBorders>
            <w:vAlign w:val="center"/>
          </w:tcPr>
          <w:p w14:paraId="0FC76477" w14:textId="54A2C9C4" w:rsidR="00C543BE" w:rsidRPr="00B824AA" w:rsidRDefault="00C543BE" w:rsidP="00584691">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6F65E52C" w14:textId="7CE8C53B" w:rsidR="00C543BE" w:rsidRPr="00C543BE" w:rsidRDefault="00C543BE" w:rsidP="00584691">
            <w:pPr>
              <w:tabs>
                <w:tab w:val="decimal" w:pos="1135"/>
              </w:tabs>
              <w:rPr>
                <w:rFonts w:ascii="Times New Roman" w:hAnsi="Times New Roman" w:cs="Times New Roman"/>
              </w:rPr>
            </w:pPr>
            <w:r w:rsidRPr="00C543BE">
              <w:rPr>
                <w:rFonts w:ascii="Times New Roman" w:hAnsi="Times New Roman" w:cs="Times New Roman"/>
              </w:rPr>
              <w:t>135</w:t>
            </w:r>
          </w:p>
        </w:tc>
        <w:tc>
          <w:tcPr>
            <w:tcW w:w="2124" w:type="dxa"/>
            <w:tcBorders>
              <w:top w:val="nil"/>
              <w:bottom w:val="nil"/>
            </w:tcBorders>
          </w:tcPr>
          <w:p w14:paraId="3315AED0" w14:textId="08E3535C" w:rsidR="00C543BE" w:rsidRPr="00C543BE" w:rsidRDefault="00C543BE" w:rsidP="00584691">
            <w:pPr>
              <w:tabs>
                <w:tab w:val="decimal" w:pos="1107"/>
              </w:tabs>
              <w:rPr>
                <w:rFonts w:ascii="Times New Roman" w:hAnsi="Times New Roman" w:cs="Times New Roman"/>
              </w:rPr>
            </w:pPr>
            <w:r w:rsidRPr="00C543BE">
              <w:rPr>
                <w:rFonts w:ascii="Times New Roman" w:hAnsi="Times New Roman" w:cs="Times New Roman"/>
              </w:rPr>
              <w:t>147</w:t>
            </w:r>
          </w:p>
        </w:tc>
        <w:tc>
          <w:tcPr>
            <w:tcW w:w="2125" w:type="dxa"/>
            <w:tcBorders>
              <w:top w:val="nil"/>
              <w:bottom w:val="nil"/>
            </w:tcBorders>
          </w:tcPr>
          <w:p w14:paraId="61E035B5" w14:textId="1401ABB1" w:rsidR="00C543BE" w:rsidRPr="00C543BE" w:rsidRDefault="00C543BE" w:rsidP="00584691">
            <w:pPr>
              <w:tabs>
                <w:tab w:val="decimal" w:pos="1221"/>
              </w:tabs>
              <w:rPr>
                <w:rFonts w:ascii="Times New Roman" w:hAnsi="Times New Roman" w:cs="Times New Roman"/>
              </w:rPr>
            </w:pPr>
            <w:r w:rsidRPr="00C543BE">
              <w:rPr>
                <w:rFonts w:ascii="Times New Roman" w:hAnsi="Times New Roman" w:cs="Times New Roman"/>
              </w:rPr>
              <w:t>107</w:t>
            </w:r>
          </w:p>
        </w:tc>
      </w:tr>
      <w:tr w:rsidR="00C543BE" w:rsidRPr="00B824AA" w14:paraId="1234DB32" w14:textId="77777777" w:rsidTr="005B1B67">
        <w:tc>
          <w:tcPr>
            <w:tcW w:w="2689" w:type="dxa"/>
            <w:tcBorders>
              <w:top w:val="nil"/>
              <w:bottom w:val="nil"/>
            </w:tcBorders>
            <w:vAlign w:val="center"/>
          </w:tcPr>
          <w:p w14:paraId="4610671B" w14:textId="77777777" w:rsidR="00C543BE" w:rsidRPr="00B824AA" w:rsidRDefault="00C543BE" w:rsidP="00584691">
            <w:pPr>
              <w:ind w:left="316"/>
              <w:rPr>
                <w:rFonts w:ascii="Times New Roman" w:hAnsi="Times New Roman" w:cs="Times New Roman"/>
                <w:color w:val="000000"/>
              </w:rPr>
            </w:pPr>
          </w:p>
        </w:tc>
        <w:tc>
          <w:tcPr>
            <w:tcW w:w="2124" w:type="dxa"/>
            <w:tcBorders>
              <w:top w:val="nil"/>
              <w:bottom w:val="nil"/>
            </w:tcBorders>
            <w:vAlign w:val="bottom"/>
          </w:tcPr>
          <w:p w14:paraId="7E504F4C" w14:textId="77777777" w:rsidR="00C543BE" w:rsidRPr="00B824AA" w:rsidRDefault="00C543BE" w:rsidP="00584691">
            <w:pPr>
              <w:tabs>
                <w:tab w:val="decimal" w:pos="1135"/>
              </w:tabs>
              <w:rPr>
                <w:rFonts w:ascii="Times New Roman" w:hAnsi="Times New Roman" w:cs="Times New Roman"/>
              </w:rPr>
            </w:pPr>
          </w:p>
        </w:tc>
        <w:tc>
          <w:tcPr>
            <w:tcW w:w="2124" w:type="dxa"/>
            <w:tcBorders>
              <w:top w:val="nil"/>
              <w:bottom w:val="nil"/>
            </w:tcBorders>
            <w:vAlign w:val="bottom"/>
          </w:tcPr>
          <w:p w14:paraId="69FF044D" w14:textId="77777777" w:rsidR="00C543BE" w:rsidRPr="00B824AA" w:rsidRDefault="00C543BE" w:rsidP="00584691">
            <w:pPr>
              <w:tabs>
                <w:tab w:val="decimal" w:pos="1107"/>
              </w:tabs>
              <w:rPr>
                <w:rFonts w:ascii="Times New Roman" w:hAnsi="Times New Roman" w:cs="Times New Roman"/>
              </w:rPr>
            </w:pPr>
          </w:p>
        </w:tc>
        <w:tc>
          <w:tcPr>
            <w:tcW w:w="2125" w:type="dxa"/>
            <w:tcBorders>
              <w:top w:val="nil"/>
              <w:bottom w:val="nil"/>
            </w:tcBorders>
            <w:vAlign w:val="bottom"/>
          </w:tcPr>
          <w:p w14:paraId="7754FB2D" w14:textId="77777777" w:rsidR="00C543BE" w:rsidRPr="00B824AA" w:rsidRDefault="00C543BE" w:rsidP="00584691">
            <w:pPr>
              <w:tabs>
                <w:tab w:val="decimal" w:pos="1221"/>
              </w:tabs>
              <w:rPr>
                <w:rFonts w:ascii="Times New Roman" w:hAnsi="Times New Roman" w:cs="Times New Roman"/>
              </w:rPr>
            </w:pPr>
          </w:p>
        </w:tc>
      </w:tr>
      <w:tr w:rsidR="00534A2E" w:rsidRPr="00B824AA" w14:paraId="4A5D12EE" w14:textId="77777777" w:rsidTr="005B1B67">
        <w:tc>
          <w:tcPr>
            <w:tcW w:w="2689" w:type="dxa"/>
            <w:tcBorders>
              <w:top w:val="nil"/>
              <w:bottom w:val="nil"/>
            </w:tcBorders>
            <w:vAlign w:val="center"/>
          </w:tcPr>
          <w:p w14:paraId="2663EC8D" w14:textId="59AB582D" w:rsidR="00534A2E" w:rsidRPr="00B824AA" w:rsidRDefault="00534A2E" w:rsidP="00C543BE">
            <w:pPr>
              <w:ind w:left="316"/>
              <w:rPr>
                <w:rFonts w:ascii="Times New Roman" w:hAnsi="Times New Roman" w:cs="Times New Roman"/>
              </w:rPr>
            </w:pPr>
            <w:r w:rsidRPr="00B824AA">
              <w:rPr>
                <w:rFonts w:ascii="Times New Roman" w:hAnsi="Times New Roman" w:cs="Times New Roman"/>
              </w:rPr>
              <w:t>Oczyszczanie ścieków</w:t>
            </w:r>
          </w:p>
        </w:tc>
        <w:tc>
          <w:tcPr>
            <w:tcW w:w="2124" w:type="dxa"/>
            <w:tcBorders>
              <w:top w:val="nil"/>
              <w:bottom w:val="nil"/>
            </w:tcBorders>
            <w:vAlign w:val="bottom"/>
          </w:tcPr>
          <w:p w14:paraId="6276950B"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vAlign w:val="bottom"/>
          </w:tcPr>
          <w:p w14:paraId="7A40AD32"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vAlign w:val="bottom"/>
          </w:tcPr>
          <w:p w14:paraId="1E414E14" w14:textId="77777777" w:rsidR="00534A2E" w:rsidRPr="00B824AA" w:rsidRDefault="00534A2E" w:rsidP="00CC3BD8">
            <w:pPr>
              <w:tabs>
                <w:tab w:val="decimal" w:pos="1221"/>
              </w:tabs>
              <w:rPr>
                <w:rFonts w:ascii="Times New Roman" w:hAnsi="Times New Roman" w:cs="Times New Roman"/>
              </w:rPr>
            </w:pPr>
          </w:p>
        </w:tc>
      </w:tr>
      <w:tr w:rsidR="00F24555" w:rsidRPr="00B824AA" w14:paraId="1BA68A12" w14:textId="77777777" w:rsidTr="00993A5B">
        <w:tc>
          <w:tcPr>
            <w:tcW w:w="2689" w:type="dxa"/>
            <w:tcBorders>
              <w:top w:val="nil"/>
              <w:bottom w:val="nil"/>
            </w:tcBorders>
            <w:vAlign w:val="center"/>
          </w:tcPr>
          <w:p w14:paraId="6FAC211B" w14:textId="77777777" w:rsidR="00F24555" w:rsidRPr="00B824AA" w:rsidRDefault="00F24555" w:rsidP="00584691">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397EF12F" w14:textId="7832AD9A" w:rsidR="00F24555" w:rsidRPr="00F24555" w:rsidRDefault="00F24555" w:rsidP="00584691">
            <w:pPr>
              <w:tabs>
                <w:tab w:val="decimal" w:pos="1135"/>
              </w:tabs>
              <w:rPr>
                <w:rFonts w:ascii="Times New Roman" w:hAnsi="Times New Roman" w:cs="Times New Roman"/>
              </w:rPr>
            </w:pPr>
            <w:r w:rsidRPr="00F24555">
              <w:rPr>
                <w:rFonts w:ascii="Times New Roman" w:hAnsi="Times New Roman" w:cs="Times New Roman"/>
              </w:rPr>
              <w:t>85</w:t>
            </w:r>
          </w:p>
        </w:tc>
        <w:tc>
          <w:tcPr>
            <w:tcW w:w="2124" w:type="dxa"/>
            <w:tcBorders>
              <w:top w:val="nil"/>
              <w:bottom w:val="nil"/>
            </w:tcBorders>
          </w:tcPr>
          <w:p w14:paraId="55F772F6" w14:textId="4B3AE74E" w:rsidR="00F24555" w:rsidRPr="00F24555" w:rsidRDefault="00F24555" w:rsidP="00584691">
            <w:pPr>
              <w:tabs>
                <w:tab w:val="decimal" w:pos="1107"/>
              </w:tabs>
              <w:rPr>
                <w:rFonts w:ascii="Times New Roman" w:hAnsi="Times New Roman" w:cs="Times New Roman"/>
              </w:rPr>
            </w:pPr>
            <w:r w:rsidRPr="00F24555">
              <w:rPr>
                <w:rFonts w:ascii="Times New Roman" w:hAnsi="Times New Roman" w:cs="Times New Roman"/>
              </w:rPr>
              <w:t>78</w:t>
            </w:r>
          </w:p>
        </w:tc>
        <w:tc>
          <w:tcPr>
            <w:tcW w:w="2125" w:type="dxa"/>
            <w:tcBorders>
              <w:top w:val="nil"/>
              <w:bottom w:val="nil"/>
            </w:tcBorders>
          </w:tcPr>
          <w:p w14:paraId="11022DDF" w14:textId="2DC866A4" w:rsidR="00F24555" w:rsidRPr="00F24555" w:rsidRDefault="00F24555" w:rsidP="00584691">
            <w:pPr>
              <w:tabs>
                <w:tab w:val="decimal" w:pos="1221"/>
              </w:tabs>
              <w:rPr>
                <w:rFonts w:ascii="Times New Roman" w:hAnsi="Times New Roman" w:cs="Times New Roman"/>
              </w:rPr>
            </w:pPr>
            <w:r w:rsidRPr="00F24555">
              <w:rPr>
                <w:rFonts w:ascii="Times New Roman" w:hAnsi="Times New Roman" w:cs="Times New Roman"/>
              </w:rPr>
              <w:t>117</w:t>
            </w:r>
          </w:p>
        </w:tc>
      </w:tr>
      <w:tr w:rsidR="00F24555" w:rsidRPr="00B824AA" w14:paraId="4D3F3099" w14:textId="77777777" w:rsidTr="00993A5B">
        <w:tc>
          <w:tcPr>
            <w:tcW w:w="2689" w:type="dxa"/>
            <w:tcBorders>
              <w:top w:val="nil"/>
              <w:bottom w:val="nil"/>
            </w:tcBorders>
            <w:vAlign w:val="center"/>
          </w:tcPr>
          <w:p w14:paraId="5F0BA802" w14:textId="77777777" w:rsidR="00F24555" w:rsidRPr="00B824AA" w:rsidRDefault="00F24555" w:rsidP="00584691">
            <w:pPr>
              <w:ind w:left="316"/>
              <w:rPr>
                <w:rFonts w:ascii="Times New Roman" w:hAnsi="Times New Roman" w:cs="Times New Roman"/>
              </w:rPr>
            </w:pPr>
            <w:r w:rsidRPr="00B824AA">
              <w:rPr>
                <w:rFonts w:ascii="Times New Roman" w:hAnsi="Times New Roman" w:cs="Times New Roman"/>
                <w:color w:val="000000"/>
              </w:rPr>
              <w:lastRenderedPageBreak/>
              <w:t>2015</w:t>
            </w:r>
          </w:p>
        </w:tc>
        <w:tc>
          <w:tcPr>
            <w:tcW w:w="2124" w:type="dxa"/>
            <w:tcBorders>
              <w:top w:val="nil"/>
              <w:bottom w:val="nil"/>
            </w:tcBorders>
          </w:tcPr>
          <w:p w14:paraId="5D393BE7" w14:textId="7C166A1B" w:rsidR="00F24555" w:rsidRPr="00F24555" w:rsidRDefault="00F24555" w:rsidP="00584691">
            <w:pPr>
              <w:tabs>
                <w:tab w:val="decimal" w:pos="1135"/>
              </w:tabs>
              <w:rPr>
                <w:rFonts w:ascii="Times New Roman" w:hAnsi="Times New Roman" w:cs="Times New Roman"/>
              </w:rPr>
            </w:pPr>
            <w:r w:rsidRPr="00F24555">
              <w:rPr>
                <w:rFonts w:ascii="Times New Roman" w:hAnsi="Times New Roman" w:cs="Times New Roman"/>
              </w:rPr>
              <w:t>92</w:t>
            </w:r>
          </w:p>
        </w:tc>
        <w:tc>
          <w:tcPr>
            <w:tcW w:w="2124" w:type="dxa"/>
            <w:tcBorders>
              <w:top w:val="nil"/>
              <w:bottom w:val="nil"/>
            </w:tcBorders>
          </w:tcPr>
          <w:p w14:paraId="77BBEB53" w14:textId="02F1876C" w:rsidR="00F24555" w:rsidRPr="00F24555" w:rsidRDefault="00F24555" w:rsidP="00584691">
            <w:pPr>
              <w:tabs>
                <w:tab w:val="decimal" w:pos="1107"/>
              </w:tabs>
              <w:rPr>
                <w:rFonts w:ascii="Times New Roman" w:hAnsi="Times New Roman" w:cs="Times New Roman"/>
              </w:rPr>
            </w:pPr>
            <w:r w:rsidRPr="00F24555">
              <w:rPr>
                <w:rFonts w:ascii="Times New Roman" w:hAnsi="Times New Roman" w:cs="Times New Roman"/>
              </w:rPr>
              <w:t>87</w:t>
            </w:r>
          </w:p>
        </w:tc>
        <w:tc>
          <w:tcPr>
            <w:tcW w:w="2125" w:type="dxa"/>
            <w:tcBorders>
              <w:top w:val="nil"/>
              <w:bottom w:val="nil"/>
            </w:tcBorders>
          </w:tcPr>
          <w:p w14:paraId="7F3FCA42" w14:textId="06E4E639" w:rsidR="00F24555" w:rsidRPr="00F24555" w:rsidRDefault="00F24555" w:rsidP="00584691">
            <w:pPr>
              <w:tabs>
                <w:tab w:val="decimal" w:pos="1221"/>
              </w:tabs>
              <w:rPr>
                <w:rFonts w:ascii="Times New Roman" w:hAnsi="Times New Roman" w:cs="Times New Roman"/>
              </w:rPr>
            </w:pPr>
            <w:r w:rsidRPr="00F24555">
              <w:rPr>
                <w:rFonts w:ascii="Times New Roman" w:hAnsi="Times New Roman" w:cs="Times New Roman"/>
              </w:rPr>
              <w:t>113</w:t>
            </w:r>
          </w:p>
        </w:tc>
      </w:tr>
      <w:tr w:rsidR="00F24555" w:rsidRPr="00B824AA" w14:paraId="4D5347E7" w14:textId="77777777" w:rsidTr="00993A5B">
        <w:tc>
          <w:tcPr>
            <w:tcW w:w="2689" w:type="dxa"/>
            <w:tcBorders>
              <w:top w:val="nil"/>
              <w:bottom w:val="nil"/>
            </w:tcBorders>
            <w:vAlign w:val="center"/>
          </w:tcPr>
          <w:p w14:paraId="0C3849B5" w14:textId="77777777" w:rsidR="00F24555" w:rsidRPr="00B824AA" w:rsidRDefault="00F24555" w:rsidP="00CF74E3">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66705C59" w14:textId="1660BDBA" w:rsidR="00F24555" w:rsidRPr="00F24555" w:rsidRDefault="00F24555" w:rsidP="00CF74E3">
            <w:pPr>
              <w:tabs>
                <w:tab w:val="decimal" w:pos="1135"/>
              </w:tabs>
              <w:rPr>
                <w:rFonts w:ascii="Times New Roman" w:hAnsi="Times New Roman" w:cs="Times New Roman"/>
                <w:color w:val="000000"/>
              </w:rPr>
            </w:pPr>
            <w:r w:rsidRPr="00F24555">
              <w:rPr>
                <w:rFonts w:ascii="Times New Roman" w:hAnsi="Times New Roman" w:cs="Times New Roman"/>
              </w:rPr>
              <w:t>93</w:t>
            </w:r>
          </w:p>
        </w:tc>
        <w:tc>
          <w:tcPr>
            <w:tcW w:w="2124" w:type="dxa"/>
            <w:tcBorders>
              <w:top w:val="nil"/>
              <w:bottom w:val="nil"/>
            </w:tcBorders>
          </w:tcPr>
          <w:p w14:paraId="7F93B9FD" w14:textId="185B48B4" w:rsidR="00F24555" w:rsidRPr="00F24555" w:rsidRDefault="00F24555" w:rsidP="00CF74E3">
            <w:pPr>
              <w:tabs>
                <w:tab w:val="decimal" w:pos="1107"/>
              </w:tabs>
              <w:rPr>
                <w:rFonts w:ascii="Times New Roman" w:hAnsi="Times New Roman" w:cs="Times New Roman"/>
                <w:color w:val="000000"/>
              </w:rPr>
            </w:pPr>
            <w:r w:rsidRPr="00F24555">
              <w:rPr>
                <w:rFonts w:ascii="Times New Roman" w:hAnsi="Times New Roman" w:cs="Times New Roman"/>
              </w:rPr>
              <w:t>86</w:t>
            </w:r>
          </w:p>
        </w:tc>
        <w:tc>
          <w:tcPr>
            <w:tcW w:w="2125" w:type="dxa"/>
            <w:tcBorders>
              <w:top w:val="nil"/>
              <w:bottom w:val="nil"/>
            </w:tcBorders>
          </w:tcPr>
          <w:p w14:paraId="6153222F" w14:textId="0100D834" w:rsidR="00F24555" w:rsidRPr="00F24555" w:rsidRDefault="00F24555" w:rsidP="00CF74E3">
            <w:pPr>
              <w:tabs>
                <w:tab w:val="decimal" w:pos="1221"/>
              </w:tabs>
              <w:rPr>
                <w:rFonts w:ascii="Times New Roman" w:hAnsi="Times New Roman" w:cs="Times New Roman"/>
                <w:color w:val="000000"/>
              </w:rPr>
            </w:pPr>
            <w:r w:rsidRPr="00F24555">
              <w:rPr>
                <w:rFonts w:ascii="Times New Roman" w:hAnsi="Times New Roman" w:cs="Times New Roman"/>
              </w:rPr>
              <w:t>108</w:t>
            </w:r>
          </w:p>
        </w:tc>
      </w:tr>
      <w:tr w:rsidR="00F24555" w:rsidRPr="00B824AA" w14:paraId="2083566E" w14:textId="77777777" w:rsidTr="00993A5B">
        <w:tc>
          <w:tcPr>
            <w:tcW w:w="2689" w:type="dxa"/>
            <w:tcBorders>
              <w:top w:val="nil"/>
              <w:bottom w:val="nil"/>
            </w:tcBorders>
            <w:vAlign w:val="center"/>
          </w:tcPr>
          <w:p w14:paraId="0FE24FD7" w14:textId="77777777" w:rsidR="00F24555" w:rsidRPr="00B824AA" w:rsidRDefault="00F24555" w:rsidP="00CF74E3">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781D9C55" w14:textId="18730491" w:rsidR="00F24555" w:rsidRPr="00F24555" w:rsidRDefault="00F24555" w:rsidP="00CF74E3">
            <w:pPr>
              <w:tabs>
                <w:tab w:val="decimal" w:pos="1135"/>
              </w:tabs>
              <w:rPr>
                <w:rFonts w:ascii="Times New Roman" w:hAnsi="Times New Roman" w:cs="Times New Roman"/>
                <w:color w:val="000000"/>
              </w:rPr>
            </w:pPr>
            <w:r w:rsidRPr="00F24555">
              <w:rPr>
                <w:rFonts w:ascii="Times New Roman" w:hAnsi="Times New Roman" w:cs="Times New Roman"/>
              </w:rPr>
              <w:t>141</w:t>
            </w:r>
          </w:p>
        </w:tc>
        <w:tc>
          <w:tcPr>
            <w:tcW w:w="2124" w:type="dxa"/>
            <w:tcBorders>
              <w:top w:val="nil"/>
              <w:bottom w:val="nil"/>
            </w:tcBorders>
          </w:tcPr>
          <w:p w14:paraId="23034FAF" w14:textId="0F82FD51" w:rsidR="00F24555" w:rsidRPr="00F24555" w:rsidRDefault="00F24555" w:rsidP="00CF74E3">
            <w:pPr>
              <w:tabs>
                <w:tab w:val="decimal" w:pos="1107"/>
              </w:tabs>
              <w:rPr>
                <w:rFonts w:ascii="Times New Roman" w:hAnsi="Times New Roman" w:cs="Times New Roman"/>
                <w:color w:val="000000"/>
              </w:rPr>
            </w:pPr>
            <w:r w:rsidRPr="00F24555">
              <w:rPr>
                <w:rFonts w:ascii="Times New Roman" w:hAnsi="Times New Roman" w:cs="Times New Roman"/>
              </w:rPr>
              <w:t>190</w:t>
            </w:r>
          </w:p>
        </w:tc>
        <w:tc>
          <w:tcPr>
            <w:tcW w:w="2125" w:type="dxa"/>
            <w:tcBorders>
              <w:top w:val="nil"/>
              <w:bottom w:val="nil"/>
            </w:tcBorders>
          </w:tcPr>
          <w:p w14:paraId="5114A824" w14:textId="2F3CD076" w:rsidR="00F24555" w:rsidRPr="00F24555" w:rsidRDefault="00F24555" w:rsidP="00CF74E3">
            <w:pPr>
              <w:tabs>
                <w:tab w:val="decimal" w:pos="1221"/>
              </w:tabs>
              <w:rPr>
                <w:rFonts w:ascii="Times New Roman" w:hAnsi="Times New Roman" w:cs="Times New Roman"/>
                <w:color w:val="000000"/>
              </w:rPr>
            </w:pPr>
            <w:r w:rsidRPr="00F24555">
              <w:rPr>
                <w:rFonts w:ascii="Times New Roman" w:hAnsi="Times New Roman" w:cs="Times New Roman"/>
              </w:rPr>
              <w:t>107</w:t>
            </w:r>
          </w:p>
        </w:tc>
      </w:tr>
      <w:tr w:rsidR="00F24555" w:rsidRPr="00B824AA" w14:paraId="74EEC738" w14:textId="77777777" w:rsidTr="00993A5B">
        <w:tc>
          <w:tcPr>
            <w:tcW w:w="2689" w:type="dxa"/>
            <w:tcBorders>
              <w:top w:val="nil"/>
              <w:bottom w:val="nil"/>
            </w:tcBorders>
            <w:vAlign w:val="center"/>
          </w:tcPr>
          <w:p w14:paraId="58A8991C" w14:textId="6B4480E0" w:rsidR="00F24555" w:rsidRPr="00B824AA" w:rsidRDefault="00F24555" w:rsidP="00CF74E3">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57069A91" w14:textId="4B161602" w:rsidR="00F24555" w:rsidRPr="00F24555" w:rsidRDefault="00F24555" w:rsidP="00CF74E3">
            <w:pPr>
              <w:tabs>
                <w:tab w:val="decimal" w:pos="1135"/>
              </w:tabs>
              <w:rPr>
                <w:rFonts w:ascii="Times New Roman" w:hAnsi="Times New Roman" w:cs="Times New Roman"/>
                <w:color w:val="000000"/>
              </w:rPr>
            </w:pPr>
            <w:r w:rsidRPr="00F24555">
              <w:rPr>
                <w:rFonts w:ascii="Times New Roman" w:hAnsi="Times New Roman" w:cs="Times New Roman"/>
              </w:rPr>
              <w:t>90</w:t>
            </w:r>
          </w:p>
        </w:tc>
        <w:tc>
          <w:tcPr>
            <w:tcW w:w="2124" w:type="dxa"/>
            <w:tcBorders>
              <w:top w:val="nil"/>
              <w:bottom w:val="nil"/>
            </w:tcBorders>
          </w:tcPr>
          <w:p w14:paraId="33648CE3" w14:textId="29572E15" w:rsidR="00F24555" w:rsidRPr="00F24555" w:rsidRDefault="00F24555" w:rsidP="00CF74E3">
            <w:pPr>
              <w:tabs>
                <w:tab w:val="decimal" w:pos="1107"/>
              </w:tabs>
              <w:rPr>
                <w:rFonts w:ascii="Times New Roman" w:hAnsi="Times New Roman" w:cs="Times New Roman"/>
                <w:color w:val="000000"/>
              </w:rPr>
            </w:pPr>
            <w:r w:rsidRPr="00F24555">
              <w:rPr>
                <w:rFonts w:ascii="Times New Roman" w:hAnsi="Times New Roman" w:cs="Times New Roman"/>
              </w:rPr>
              <w:t>85</w:t>
            </w:r>
          </w:p>
        </w:tc>
        <w:tc>
          <w:tcPr>
            <w:tcW w:w="2125" w:type="dxa"/>
            <w:tcBorders>
              <w:top w:val="nil"/>
              <w:bottom w:val="nil"/>
            </w:tcBorders>
          </w:tcPr>
          <w:p w14:paraId="337D9CA2" w14:textId="108FAFED" w:rsidR="00F24555" w:rsidRPr="00F24555" w:rsidRDefault="00F24555" w:rsidP="00CF74E3">
            <w:pPr>
              <w:tabs>
                <w:tab w:val="decimal" w:pos="1221"/>
              </w:tabs>
              <w:rPr>
                <w:rFonts w:ascii="Times New Roman" w:hAnsi="Times New Roman" w:cs="Times New Roman"/>
                <w:color w:val="000000"/>
              </w:rPr>
            </w:pPr>
            <w:r w:rsidRPr="00F24555">
              <w:rPr>
                <w:rFonts w:ascii="Times New Roman" w:hAnsi="Times New Roman" w:cs="Times New Roman"/>
              </w:rPr>
              <w:t>108</w:t>
            </w:r>
          </w:p>
        </w:tc>
      </w:tr>
      <w:tr w:rsidR="00866620" w:rsidRPr="00B824AA" w14:paraId="07254D2E" w14:textId="77777777" w:rsidTr="005B1B67">
        <w:tc>
          <w:tcPr>
            <w:tcW w:w="2689" w:type="dxa"/>
            <w:tcBorders>
              <w:top w:val="nil"/>
              <w:bottom w:val="nil"/>
            </w:tcBorders>
            <w:vAlign w:val="center"/>
          </w:tcPr>
          <w:p w14:paraId="7A4C0A54" w14:textId="77777777" w:rsidR="00866620" w:rsidRDefault="00866620" w:rsidP="00CF74E3">
            <w:pPr>
              <w:ind w:left="316"/>
              <w:rPr>
                <w:rFonts w:ascii="Times New Roman" w:hAnsi="Times New Roman" w:cs="Times New Roman"/>
                <w:color w:val="000000"/>
              </w:rPr>
            </w:pPr>
          </w:p>
        </w:tc>
        <w:tc>
          <w:tcPr>
            <w:tcW w:w="2124" w:type="dxa"/>
            <w:tcBorders>
              <w:top w:val="nil"/>
              <w:bottom w:val="nil"/>
            </w:tcBorders>
            <w:vAlign w:val="bottom"/>
          </w:tcPr>
          <w:p w14:paraId="52352589" w14:textId="77777777" w:rsidR="00866620" w:rsidRPr="00CF74E3" w:rsidRDefault="00866620" w:rsidP="00CF74E3">
            <w:pPr>
              <w:tabs>
                <w:tab w:val="decimal" w:pos="1135"/>
              </w:tabs>
              <w:rPr>
                <w:rFonts w:ascii="Times New Roman" w:hAnsi="Times New Roman" w:cs="Times New Roman"/>
                <w:color w:val="000000"/>
              </w:rPr>
            </w:pPr>
          </w:p>
        </w:tc>
        <w:tc>
          <w:tcPr>
            <w:tcW w:w="2124" w:type="dxa"/>
            <w:tcBorders>
              <w:top w:val="nil"/>
              <w:bottom w:val="nil"/>
            </w:tcBorders>
            <w:vAlign w:val="bottom"/>
          </w:tcPr>
          <w:p w14:paraId="5BEDDDB2" w14:textId="77777777" w:rsidR="00866620" w:rsidRPr="00CF74E3" w:rsidRDefault="00866620" w:rsidP="00CF74E3">
            <w:pPr>
              <w:tabs>
                <w:tab w:val="decimal" w:pos="1107"/>
              </w:tabs>
              <w:rPr>
                <w:rFonts w:ascii="Times New Roman" w:hAnsi="Times New Roman" w:cs="Times New Roman"/>
                <w:color w:val="000000"/>
              </w:rPr>
            </w:pPr>
          </w:p>
        </w:tc>
        <w:tc>
          <w:tcPr>
            <w:tcW w:w="2125" w:type="dxa"/>
            <w:tcBorders>
              <w:top w:val="nil"/>
              <w:bottom w:val="nil"/>
            </w:tcBorders>
            <w:vAlign w:val="bottom"/>
          </w:tcPr>
          <w:p w14:paraId="4F5EE934" w14:textId="77777777" w:rsidR="00866620" w:rsidRPr="00CF74E3" w:rsidRDefault="00866620" w:rsidP="00CF74E3">
            <w:pPr>
              <w:tabs>
                <w:tab w:val="decimal" w:pos="1221"/>
              </w:tabs>
              <w:rPr>
                <w:rFonts w:ascii="Times New Roman" w:hAnsi="Times New Roman" w:cs="Times New Roman"/>
                <w:color w:val="000000"/>
              </w:rPr>
            </w:pPr>
          </w:p>
        </w:tc>
      </w:tr>
      <w:tr w:rsidR="00534A2E" w:rsidRPr="00B824AA" w14:paraId="329C6869" w14:textId="77777777" w:rsidTr="005B1B67">
        <w:tc>
          <w:tcPr>
            <w:tcW w:w="2689" w:type="dxa"/>
            <w:tcBorders>
              <w:top w:val="nil"/>
              <w:bottom w:val="nil"/>
            </w:tcBorders>
          </w:tcPr>
          <w:p w14:paraId="0EFA592A" w14:textId="69977C45" w:rsidR="00534A2E" w:rsidRPr="00B824AA" w:rsidRDefault="00534A2E" w:rsidP="00CC3BD8">
            <w:pPr>
              <w:ind w:left="316"/>
              <w:rPr>
                <w:rFonts w:ascii="Times New Roman" w:hAnsi="Times New Roman" w:cs="Times New Roman"/>
              </w:rPr>
            </w:pPr>
            <w:r w:rsidRPr="00B824AA">
              <w:rPr>
                <w:rFonts w:ascii="Times New Roman" w:hAnsi="Times New Roman" w:cs="Times New Roman"/>
              </w:rPr>
              <w:t>Produkcja energii odnawialnej</w:t>
            </w:r>
          </w:p>
        </w:tc>
        <w:tc>
          <w:tcPr>
            <w:tcW w:w="2124" w:type="dxa"/>
            <w:tcBorders>
              <w:top w:val="nil"/>
              <w:bottom w:val="nil"/>
            </w:tcBorders>
          </w:tcPr>
          <w:p w14:paraId="353B577B"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4097DE81"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1D3FC605" w14:textId="77777777" w:rsidR="00534A2E" w:rsidRPr="00B824AA" w:rsidRDefault="00534A2E" w:rsidP="00CC3BD8">
            <w:pPr>
              <w:tabs>
                <w:tab w:val="decimal" w:pos="1221"/>
              </w:tabs>
              <w:rPr>
                <w:rFonts w:ascii="Times New Roman" w:hAnsi="Times New Roman" w:cs="Times New Roman"/>
              </w:rPr>
            </w:pPr>
          </w:p>
        </w:tc>
      </w:tr>
      <w:tr w:rsidR="0007125A" w:rsidRPr="00B824AA" w14:paraId="1981FB17" w14:textId="77777777" w:rsidTr="00400777">
        <w:tc>
          <w:tcPr>
            <w:tcW w:w="2689" w:type="dxa"/>
            <w:tcBorders>
              <w:top w:val="nil"/>
              <w:bottom w:val="nil"/>
            </w:tcBorders>
          </w:tcPr>
          <w:p w14:paraId="355E5FA2" w14:textId="77777777" w:rsidR="0007125A" w:rsidRPr="00B824AA" w:rsidRDefault="0007125A" w:rsidP="00196357">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00879B61" w14:textId="18F1DA70" w:rsidR="0007125A" w:rsidRPr="0007125A" w:rsidRDefault="0007125A" w:rsidP="00196357">
            <w:pPr>
              <w:tabs>
                <w:tab w:val="decimal" w:pos="1135"/>
              </w:tabs>
              <w:rPr>
                <w:rFonts w:ascii="Times New Roman" w:hAnsi="Times New Roman" w:cs="Times New Roman"/>
              </w:rPr>
            </w:pPr>
            <w:r w:rsidRPr="0007125A">
              <w:rPr>
                <w:rFonts w:ascii="Times New Roman" w:hAnsi="Times New Roman" w:cs="Times New Roman"/>
              </w:rPr>
              <w:t>66</w:t>
            </w:r>
          </w:p>
        </w:tc>
        <w:tc>
          <w:tcPr>
            <w:tcW w:w="2124" w:type="dxa"/>
            <w:tcBorders>
              <w:top w:val="nil"/>
              <w:bottom w:val="nil"/>
            </w:tcBorders>
          </w:tcPr>
          <w:p w14:paraId="6D607D53" w14:textId="1155C864" w:rsidR="0007125A" w:rsidRPr="0007125A" w:rsidRDefault="0007125A" w:rsidP="00196357">
            <w:pPr>
              <w:tabs>
                <w:tab w:val="decimal" w:pos="1107"/>
              </w:tabs>
              <w:rPr>
                <w:rFonts w:ascii="Times New Roman" w:hAnsi="Times New Roman" w:cs="Times New Roman"/>
              </w:rPr>
            </w:pPr>
            <w:r w:rsidRPr="0007125A">
              <w:rPr>
                <w:rFonts w:ascii="Times New Roman" w:hAnsi="Times New Roman" w:cs="Times New Roman"/>
              </w:rPr>
              <w:t>66</w:t>
            </w:r>
          </w:p>
        </w:tc>
        <w:tc>
          <w:tcPr>
            <w:tcW w:w="2125" w:type="dxa"/>
            <w:tcBorders>
              <w:top w:val="nil"/>
              <w:bottom w:val="nil"/>
            </w:tcBorders>
          </w:tcPr>
          <w:p w14:paraId="29B4D5FC" w14:textId="22F565AB" w:rsidR="0007125A" w:rsidRPr="0007125A" w:rsidRDefault="0007125A" w:rsidP="00196357">
            <w:pPr>
              <w:tabs>
                <w:tab w:val="decimal" w:pos="1221"/>
              </w:tabs>
              <w:rPr>
                <w:rFonts w:ascii="Times New Roman" w:hAnsi="Times New Roman" w:cs="Times New Roman"/>
              </w:rPr>
            </w:pPr>
            <w:r w:rsidRPr="0007125A">
              <w:rPr>
                <w:rFonts w:ascii="Times New Roman" w:hAnsi="Times New Roman" w:cs="Times New Roman"/>
              </w:rPr>
              <w:t>65</w:t>
            </w:r>
          </w:p>
        </w:tc>
      </w:tr>
      <w:tr w:rsidR="0007125A" w:rsidRPr="00B824AA" w14:paraId="0A3BAAC7" w14:textId="77777777" w:rsidTr="00400777">
        <w:tc>
          <w:tcPr>
            <w:tcW w:w="2689" w:type="dxa"/>
            <w:tcBorders>
              <w:top w:val="nil"/>
              <w:bottom w:val="nil"/>
            </w:tcBorders>
          </w:tcPr>
          <w:p w14:paraId="2A8A7354" w14:textId="77777777" w:rsidR="0007125A" w:rsidRPr="00B824AA" w:rsidRDefault="0007125A" w:rsidP="00196357">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1C772C6B" w14:textId="3B4A1395" w:rsidR="0007125A" w:rsidRPr="0007125A" w:rsidRDefault="0007125A" w:rsidP="00196357">
            <w:pPr>
              <w:tabs>
                <w:tab w:val="decimal" w:pos="1135"/>
              </w:tabs>
              <w:rPr>
                <w:rFonts w:ascii="Times New Roman" w:hAnsi="Times New Roman" w:cs="Times New Roman"/>
              </w:rPr>
            </w:pPr>
            <w:r w:rsidRPr="0007125A">
              <w:rPr>
                <w:rFonts w:ascii="Times New Roman" w:hAnsi="Times New Roman" w:cs="Times New Roman"/>
              </w:rPr>
              <w:t>68</w:t>
            </w:r>
          </w:p>
        </w:tc>
        <w:tc>
          <w:tcPr>
            <w:tcW w:w="2124" w:type="dxa"/>
            <w:tcBorders>
              <w:top w:val="nil"/>
              <w:bottom w:val="nil"/>
            </w:tcBorders>
          </w:tcPr>
          <w:p w14:paraId="22EFC29D" w14:textId="23DE1964" w:rsidR="0007125A" w:rsidRPr="0007125A" w:rsidRDefault="0007125A" w:rsidP="00196357">
            <w:pPr>
              <w:tabs>
                <w:tab w:val="decimal" w:pos="1107"/>
              </w:tabs>
              <w:rPr>
                <w:rFonts w:ascii="Times New Roman" w:hAnsi="Times New Roman" w:cs="Times New Roman"/>
              </w:rPr>
            </w:pPr>
            <w:r w:rsidRPr="0007125A">
              <w:rPr>
                <w:rFonts w:ascii="Times New Roman" w:hAnsi="Times New Roman" w:cs="Times New Roman"/>
              </w:rPr>
              <w:t>68</w:t>
            </w:r>
          </w:p>
        </w:tc>
        <w:tc>
          <w:tcPr>
            <w:tcW w:w="2125" w:type="dxa"/>
            <w:tcBorders>
              <w:top w:val="nil"/>
              <w:bottom w:val="nil"/>
            </w:tcBorders>
          </w:tcPr>
          <w:p w14:paraId="6309CE49" w14:textId="1A80D823" w:rsidR="0007125A" w:rsidRPr="0007125A" w:rsidRDefault="0007125A" w:rsidP="00196357">
            <w:pPr>
              <w:tabs>
                <w:tab w:val="decimal" w:pos="1221"/>
              </w:tabs>
              <w:rPr>
                <w:rFonts w:ascii="Times New Roman" w:hAnsi="Times New Roman" w:cs="Times New Roman"/>
              </w:rPr>
            </w:pPr>
            <w:r w:rsidRPr="0007125A">
              <w:rPr>
                <w:rFonts w:ascii="Times New Roman" w:hAnsi="Times New Roman" w:cs="Times New Roman"/>
              </w:rPr>
              <w:t>69</w:t>
            </w:r>
          </w:p>
        </w:tc>
      </w:tr>
      <w:tr w:rsidR="0007125A" w:rsidRPr="00B824AA" w14:paraId="4A614E2C" w14:textId="77777777" w:rsidTr="00400777">
        <w:tc>
          <w:tcPr>
            <w:tcW w:w="2689" w:type="dxa"/>
            <w:tcBorders>
              <w:top w:val="nil"/>
              <w:bottom w:val="nil"/>
            </w:tcBorders>
          </w:tcPr>
          <w:p w14:paraId="2E13491E" w14:textId="77777777" w:rsidR="0007125A" w:rsidRPr="00B824AA" w:rsidRDefault="0007125A" w:rsidP="00196357">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34E8DFE9" w14:textId="5BF08324" w:rsidR="0007125A" w:rsidRPr="0007125A" w:rsidRDefault="0007125A" w:rsidP="00196357">
            <w:pPr>
              <w:tabs>
                <w:tab w:val="decimal" w:pos="1135"/>
              </w:tabs>
              <w:rPr>
                <w:rFonts w:ascii="Times New Roman" w:hAnsi="Times New Roman" w:cs="Times New Roman"/>
              </w:rPr>
            </w:pPr>
            <w:r w:rsidRPr="0007125A">
              <w:rPr>
                <w:rFonts w:ascii="Times New Roman" w:hAnsi="Times New Roman" w:cs="Times New Roman"/>
              </w:rPr>
              <w:t>75</w:t>
            </w:r>
          </w:p>
        </w:tc>
        <w:tc>
          <w:tcPr>
            <w:tcW w:w="2124" w:type="dxa"/>
            <w:tcBorders>
              <w:top w:val="nil"/>
              <w:bottom w:val="nil"/>
            </w:tcBorders>
          </w:tcPr>
          <w:p w14:paraId="64E2C994" w14:textId="34E3E068" w:rsidR="0007125A" w:rsidRPr="0007125A" w:rsidRDefault="0007125A" w:rsidP="00196357">
            <w:pPr>
              <w:tabs>
                <w:tab w:val="decimal" w:pos="1107"/>
              </w:tabs>
              <w:rPr>
                <w:rFonts w:ascii="Times New Roman" w:hAnsi="Times New Roman" w:cs="Times New Roman"/>
              </w:rPr>
            </w:pPr>
            <w:r w:rsidRPr="0007125A">
              <w:rPr>
                <w:rFonts w:ascii="Times New Roman" w:hAnsi="Times New Roman" w:cs="Times New Roman"/>
              </w:rPr>
              <w:t>73</w:t>
            </w:r>
          </w:p>
        </w:tc>
        <w:tc>
          <w:tcPr>
            <w:tcW w:w="2125" w:type="dxa"/>
            <w:tcBorders>
              <w:top w:val="nil"/>
              <w:bottom w:val="nil"/>
            </w:tcBorders>
          </w:tcPr>
          <w:p w14:paraId="6B5C2E18" w14:textId="2524D7F0" w:rsidR="0007125A" w:rsidRPr="0007125A" w:rsidRDefault="0007125A" w:rsidP="00196357">
            <w:pPr>
              <w:tabs>
                <w:tab w:val="decimal" w:pos="1221"/>
              </w:tabs>
              <w:rPr>
                <w:rFonts w:ascii="Times New Roman" w:hAnsi="Times New Roman" w:cs="Times New Roman"/>
              </w:rPr>
            </w:pPr>
            <w:r w:rsidRPr="0007125A">
              <w:rPr>
                <w:rFonts w:ascii="Times New Roman" w:hAnsi="Times New Roman" w:cs="Times New Roman"/>
              </w:rPr>
              <w:t>81</w:t>
            </w:r>
          </w:p>
        </w:tc>
      </w:tr>
      <w:tr w:rsidR="0007125A" w:rsidRPr="00B824AA" w14:paraId="5510A6F8" w14:textId="77777777" w:rsidTr="00400777">
        <w:tc>
          <w:tcPr>
            <w:tcW w:w="2689" w:type="dxa"/>
            <w:tcBorders>
              <w:top w:val="nil"/>
              <w:bottom w:val="nil"/>
            </w:tcBorders>
            <w:vAlign w:val="center"/>
          </w:tcPr>
          <w:p w14:paraId="2A8B102A" w14:textId="77777777" w:rsidR="0007125A" w:rsidRPr="00B824AA" w:rsidRDefault="0007125A" w:rsidP="00196357">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33F7E703" w14:textId="117CEA15" w:rsidR="0007125A" w:rsidRPr="0007125A" w:rsidRDefault="0007125A" w:rsidP="00196357">
            <w:pPr>
              <w:tabs>
                <w:tab w:val="decimal" w:pos="1135"/>
              </w:tabs>
              <w:rPr>
                <w:rFonts w:ascii="Times New Roman" w:hAnsi="Times New Roman" w:cs="Times New Roman"/>
              </w:rPr>
            </w:pPr>
            <w:r w:rsidRPr="0007125A">
              <w:rPr>
                <w:rFonts w:ascii="Times New Roman" w:hAnsi="Times New Roman" w:cs="Times New Roman"/>
              </w:rPr>
              <w:t>74</w:t>
            </w:r>
          </w:p>
        </w:tc>
        <w:tc>
          <w:tcPr>
            <w:tcW w:w="2124" w:type="dxa"/>
            <w:tcBorders>
              <w:top w:val="nil"/>
              <w:bottom w:val="nil"/>
            </w:tcBorders>
          </w:tcPr>
          <w:p w14:paraId="48662A11" w14:textId="002CDD95" w:rsidR="0007125A" w:rsidRPr="0007125A" w:rsidRDefault="0007125A" w:rsidP="00196357">
            <w:pPr>
              <w:tabs>
                <w:tab w:val="decimal" w:pos="1107"/>
              </w:tabs>
              <w:rPr>
                <w:rFonts w:ascii="Times New Roman" w:hAnsi="Times New Roman" w:cs="Times New Roman"/>
              </w:rPr>
            </w:pPr>
            <w:r w:rsidRPr="0007125A">
              <w:rPr>
                <w:rFonts w:ascii="Times New Roman" w:hAnsi="Times New Roman" w:cs="Times New Roman"/>
              </w:rPr>
              <w:t>72</w:t>
            </w:r>
          </w:p>
        </w:tc>
        <w:tc>
          <w:tcPr>
            <w:tcW w:w="2125" w:type="dxa"/>
            <w:tcBorders>
              <w:top w:val="nil"/>
              <w:bottom w:val="nil"/>
            </w:tcBorders>
          </w:tcPr>
          <w:p w14:paraId="1268AF10" w14:textId="543D4836" w:rsidR="0007125A" w:rsidRPr="0007125A" w:rsidRDefault="0007125A" w:rsidP="00196357">
            <w:pPr>
              <w:tabs>
                <w:tab w:val="decimal" w:pos="1221"/>
              </w:tabs>
              <w:rPr>
                <w:rFonts w:ascii="Times New Roman" w:hAnsi="Times New Roman" w:cs="Times New Roman"/>
              </w:rPr>
            </w:pPr>
            <w:r w:rsidRPr="0007125A">
              <w:rPr>
                <w:rFonts w:ascii="Times New Roman" w:hAnsi="Times New Roman" w:cs="Times New Roman"/>
              </w:rPr>
              <w:t>81</w:t>
            </w:r>
          </w:p>
        </w:tc>
      </w:tr>
      <w:tr w:rsidR="0007125A" w:rsidRPr="00B824AA" w14:paraId="580EF46A" w14:textId="77777777" w:rsidTr="00400777">
        <w:tc>
          <w:tcPr>
            <w:tcW w:w="2689" w:type="dxa"/>
            <w:tcBorders>
              <w:top w:val="nil"/>
              <w:bottom w:val="nil"/>
            </w:tcBorders>
            <w:vAlign w:val="center"/>
          </w:tcPr>
          <w:p w14:paraId="63EED212" w14:textId="50C37D45" w:rsidR="0007125A" w:rsidRPr="00B824AA" w:rsidRDefault="0007125A" w:rsidP="00196357">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5BFDFA31" w14:textId="4E082A77" w:rsidR="0007125A" w:rsidRPr="0007125A" w:rsidRDefault="0007125A" w:rsidP="00196357">
            <w:pPr>
              <w:tabs>
                <w:tab w:val="decimal" w:pos="1135"/>
              </w:tabs>
              <w:rPr>
                <w:rFonts w:ascii="Times New Roman" w:hAnsi="Times New Roman" w:cs="Times New Roman"/>
                <w:color w:val="000000"/>
              </w:rPr>
            </w:pPr>
            <w:r w:rsidRPr="0007125A">
              <w:rPr>
                <w:rFonts w:ascii="Times New Roman" w:hAnsi="Times New Roman" w:cs="Times New Roman"/>
              </w:rPr>
              <w:t>76</w:t>
            </w:r>
          </w:p>
        </w:tc>
        <w:tc>
          <w:tcPr>
            <w:tcW w:w="2124" w:type="dxa"/>
            <w:tcBorders>
              <w:top w:val="nil"/>
              <w:bottom w:val="nil"/>
            </w:tcBorders>
          </w:tcPr>
          <w:p w14:paraId="39741B18" w14:textId="2A520035" w:rsidR="0007125A" w:rsidRPr="0007125A" w:rsidRDefault="0007125A" w:rsidP="00196357">
            <w:pPr>
              <w:tabs>
                <w:tab w:val="decimal" w:pos="1107"/>
              </w:tabs>
              <w:rPr>
                <w:rFonts w:ascii="Times New Roman" w:hAnsi="Times New Roman" w:cs="Times New Roman"/>
                <w:color w:val="000000"/>
              </w:rPr>
            </w:pPr>
            <w:r w:rsidRPr="0007125A">
              <w:rPr>
                <w:rFonts w:ascii="Times New Roman" w:hAnsi="Times New Roman" w:cs="Times New Roman"/>
              </w:rPr>
              <w:t>74</w:t>
            </w:r>
          </w:p>
        </w:tc>
        <w:tc>
          <w:tcPr>
            <w:tcW w:w="2125" w:type="dxa"/>
            <w:tcBorders>
              <w:top w:val="nil"/>
              <w:bottom w:val="nil"/>
            </w:tcBorders>
          </w:tcPr>
          <w:p w14:paraId="364033C6" w14:textId="26DEB717" w:rsidR="0007125A" w:rsidRPr="0007125A" w:rsidRDefault="0007125A" w:rsidP="00196357">
            <w:pPr>
              <w:tabs>
                <w:tab w:val="decimal" w:pos="1221"/>
              </w:tabs>
              <w:rPr>
                <w:rFonts w:ascii="Times New Roman" w:hAnsi="Times New Roman" w:cs="Times New Roman"/>
                <w:color w:val="000000"/>
              </w:rPr>
            </w:pPr>
            <w:r w:rsidRPr="0007125A">
              <w:rPr>
                <w:rFonts w:ascii="Times New Roman" w:hAnsi="Times New Roman" w:cs="Times New Roman"/>
              </w:rPr>
              <w:t>84</w:t>
            </w:r>
          </w:p>
        </w:tc>
      </w:tr>
      <w:tr w:rsidR="00497769" w:rsidRPr="00B824AA" w14:paraId="49480715" w14:textId="77777777" w:rsidTr="005B1B67">
        <w:tc>
          <w:tcPr>
            <w:tcW w:w="2689" w:type="dxa"/>
            <w:tcBorders>
              <w:top w:val="nil"/>
              <w:bottom w:val="nil"/>
            </w:tcBorders>
            <w:vAlign w:val="center"/>
          </w:tcPr>
          <w:p w14:paraId="6C32ACE6" w14:textId="77777777" w:rsidR="00497769" w:rsidRPr="00B824AA" w:rsidRDefault="00497769" w:rsidP="00196357">
            <w:pPr>
              <w:ind w:left="316"/>
              <w:rPr>
                <w:rFonts w:ascii="Times New Roman" w:hAnsi="Times New Roman" w:cs="Times New Roman"/>
                <w:color w:val="000000"/>
              </w:rPr>
            </w:pPr>
          </w:p>
        </w:tc>
        <w:tc>
          <w:tcPr>
            <w:tcW w:w="2124" w:type="dxa"/>
            <w:tcBorders>
              <w:top w:val="nil"/>
              <w:bottom w:val="nil"/>
            </w:tcBorders>
            <w:vAlign w:val="bottom"/>
          </w:tcPr>
          <w:p w14:paraId="6F1FE19F" w14:textId="77777777" w:rsidR="00497769" w:rsidRPr="00B824AA" w:rsidRDefault="00497769" w:rsidP="00196357">
            <w:pPr>
              <w:tabs>
                <w:tab w:val="decimal" w:pos="1135"/>
              </w:tabs>
              <w:rPr>
                <w:rFonts w:ascii="Times New Roman" w:hAnsi="Times New Roman" w:cs="Times New Roman"/>
                <w:color w:val="000000"/>
              </w:rPr>
            </w:pPr>
          </w:p>
        </w:tc>
        <w:tc>
          <w:tcPr>
            <w:tcW w:w="2124" w:type="dxa"/>
            <w:tcBorders>
              <w:top w:val="nil"/>
              <w:bottom w:val="nil"/>
            </w:tcBorders>
            <w:vAlign w:val="bottom"/>
          </w:tcPr>
          <w:p w14:paraId="351F8A85" w14:textId="77777777" w:rsidR="00497769" w:rsidRPr="00B824AA" w:rsidRDefault="00497769" w:rsidP="00196357">
            <w:pPr>
              <w:tabs>
                <w:tab w:val="decimal" w:pos="1107"/>
              </w:tabs>
              <w:rPr>
                <w:rFonts w:ascii="Times New Roman" w:hAnsi="Times New Roman" w:cs="Times New Roman"/>
                <w:color w:val="000000"/>
              </w:rPr>
            </w:pPr>
          </w:p>
        </w:tc>
        <w:tc>
          <w:tcPr>
            <w:tcW w:w="2125" w:type="dxa"/>
            <w:tcBorders>
              <w:top w:val="nil"/>
              <w:bottom w:val="nil"/>
            </w:tcBorders>
            <w:vAlign w:val="bottom"/>
          </w:tcPr>
          <w:p w14:paraId="1611F09A" w14:textId="77777777" w:rsidR="00497769" w:rsidRPr="00B824AA" w:rsidRDefault="00497769" w:rsidP="00196357">
            <w:pPr>
              <w:tabs>
                <w:tab w:val="decimal" w:pos="1221"/>
              </w:tabs>
              <w:rPr>
                <w:rFonts w:ascii="Times New Roman" w:hAnsi="Times New Roman" w:cs="Times New Roman"/>
                <w:color w:val="000000"/>
              </w:rPr>
            </w:pPr>
          </w:p>
        </w:tc>
      </w:tr>
      <w:tr w:rsidR="00534A2E" w:rsidRPr="00B824AA" w14:paraId="72718FCA" w14:textId="77777777" w:rsidTr="005B1B67">
        <w:tc>
          <w:tcPr>
            <w:tcW w:w="2689" w:type="dxa"/>
            <w:tcBorders>
              <w:top w:val="nil"/>
              <w:bottom w:val="nil"/>
            </w:tcBorders>
          </w:tcPr>
          <w:p w14:paraId="1200C6C7" w14:textId="7AE24DBC" w:rsidR="00534A2E" w:rsidRPr="00B824AA" w:rsidRDefault="00534A2E" w:rsidP="00CC3BD8">
            <w:pPr>
              <w:ind w:left="316"/>
              <w:rPr>
                <w:rFonts w:ascii="Times New Roman" w:hAnsi="Times New Roman" w:cs="Times New Roman"/>
              </w:rPr>
            </w:pPr>
            <w:r w:rsidRPr="00B824AA">
              <w:rPr>
                <w:rFonts w:ascii="Times New Roman" w:hAnsi="Times New Roman" w:cs="Times New Roman"/>
              </w:rPr>
              <w:t>Emisja cząstek stałych</w:t>
            </w:r>
          </w:p>
        </w:tc>
        <w:tc>
          <w:tcPr>
            <w:tcW w:w="2124" w:type="dxa"/>
            <w:tcBorders>
              <w:top w:val="nil"/>
              <w:bottom w:val="nil"/>
            </w:tcBorders>
          </w:tcPr>
          <w:p w14:paraId="42D67D23"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398B6E13"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350A97E2" w14:textId="77777777" w:rsidR="00534A2E" w:rsidRPr="00B824AA" w:rsidRDefault="00534A2E" w:rsidP="00CC3BD8">
            <w:pPr>
              <w:tabs>
                <w:tab w:val="decimal" w:pos="1221"/>
              </w:tabs>
              <w:rPr>
                <w:rFonts w:ascii="Times New Roman" w:hAnsi="Times New Roman" w:cs="Times New Roman"/>
              </w:rPr>
            </w:pPr>
          </w:p>
        </w:tc>
      </w:tr>
      <w:tr w:rsidR="00C73E4A" w:rsidRPr="00B824AA" w14:paraId="6871000C" w14:textId="77777777" w:rsidTr="00CE2423">
        <w:trPr>
          <w:trHeight w:val="60"/>
        </w:trPr>
        <w:tc>
          <w:tcPr>
            <w:tcW w:w="2689" w:type="dxa"/>
            <w:tcBorders>
              <w:top w:val="nil"/>
              <w:bottom w:val="nil"/>
            </w:tcBorders>
          </w:tcPr>
          <w:p w14:paraId="09A63EA8" w14:textId="77777777" w:rsidR="00C73E4A" w:rsidRPr="00B824AA" w:rsidRDefault="00C73E4A" w:rsidP="00196357">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49BE79B0" w14:textId="011BF0C7" w:rsidR="00C73E4A" w:rsidRPr="00C73E4A" w:rsidRDefault="00C73E4A" w:rsidP="00196357">
            <w:pPr>
              <w:tabs>
                <w:tab w:val="decimal" w:pos="1135"/>
              </w:tabs>
              <w:rPr>
                <w:rFonts w:ascii="Times New Roman" w:hAnsi="Times New Roman" w:cs="Times New Roman"/>
              </w:rPr>
            </w:pPr>
            <w:r w:rsidRPr="00C73E4A">
              <w:rPr>
                <w:rFonts w:ascii="Times New Roman" w:hAnsi="Times New Roman" w:cs="Times New Roman"/>
              </w:rPr>
              <w:t>46</w:t>
            </w:r>
          </w:p>
        </w:tc>
        <w:tc>
          <w:tcPr>
            <w:tcW w:w="2124" w:type="dxa"/>
            <w:tcBorders>
              <w:top w:val="nil"/>
              <w:bottom w:val="nil"/>
            </w:tcBorders>
          </w:tcPr>
          <w:p w14:paraId="2B4F39CB" w14:textId="27F0B638" w:rsidR="00C73E4A" w:rsidRPr="00C73E4A" w:rsidRDefault="00C73E4A" w:rsidP="00196357">
            <w:pPr>
              <w:tabs>
                <w:tab w:val="decimal" w:pos="1107"/>
              </w:tabs>
              <w:rPr>
                <w:rFonts w:ascii="Times New Roman" w:hAnsi="Times New Roman" w:cs="Times New Roman"/>
              </w:rPr>
            </w:pPr>
            <w:r w:rsidRPr="00C73E4A">
              <w:rPr>
                <w:rFonts w:ascii="Times New Roman" w:hAnsi="Times New Roman" w:cs="Times New Roman"/>
              </w:rPr>
              <w:t>41</w:t>
            </w:r>
          </w:p>
        </w:tc>
        <w:tc>
          <w:tcPr>
            <w:tcW w:w="2125" w:type="dxa"/>
            <w:tcBorders>
              <w:top w:val="nil"/>
              <w:bottom w:val="nil"/>
            </w:tcBorders>
          </w:tcPr>
          <w:p w14:paraId="1968E6F5" w14:textId="588B5776" w:rsidR="00C73E4A" w:rsidRPr="00C73E4A" w:rsidRDefault="00C73E4A" w:rsidP="00196357">
            <w:pPr>
              <w:tabs>
                <w:tab w:val="decimal" w:pos="1221"/>
              </w:tabs>
              <w:rPr>
                <w:rFonts w:ascii="Times New Roman" w:hAnsi="Times New Roman" w:cs="Times New Roman"/>
              </w:rPr>
            </w:pPr>
            <w:r w:rsidRPr="00C73E4A">
              <w:rPr>
                <w:rFonts w:ascii="Times New Roman" w:hAnsi="Times New Roman" w:cs="Times New Roman"/>
              </w:rPr>
              <w:t>68</w:t>
            </w:r>
          </w:p>
        </w:tc>
      </w:tr>
      <w:tr w:rsidR="00C73E4A" w:rsidRPr="00B824AA" w14:paraId="335EB86E" w14:textId="77777777" w:rsidTr="00CE2423">
        <w:tc>
          <w:tcPr>
            <w:tcW w:w="2689" w:type="dxa"/>
            <w:tcBorders>
              <w:top w:val="nil"/>
              <w:bottom w:val="nil"/>
            </w:tcBorders>
          </w:tcPr>
          <w:p w14:paraId="521BAB4B" w14:textId="77777777" w:rsidR="00C73E4A" w:rsidRPr="00B824AA" w:rsidRDefault="00C73E4A" w:rsidP="00196357">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0A873B69" w14:textId="74A73C64" w:rsidR="00C73E4A" w:rsidRPr="00C73E4A" w:rsidRDefault="00C73E4A" w:rsidP="00196357">
            <w:pPr>
              <w:tabs>
                <w:tab w:val="decimal" w:pos="1135"/>
              </w:tabs>
              <w:rPr>
                <w:rFonts w:ascii="Times New Roman" w:hAnsi="Times New Roman" w:cs="Times New Roman"/>
              </w:rPr>
            </w:pPr>
            <w:r w:rsidRPr="00C73E4A">
              <w:rPr>
                <w:rFonts w:ascii="Times New Roman" w:hAnsi="Times New Roman" w:cs="Times New Roman"/>
              </w:rPr>
              <w:t>49</w:t>
            </w:r>
          </w:p>
        </w:tc>
        <w:tc>
          <w:tcPr>
            <w:tcW w:w="2124" w:type="dxa"/>
            <w:tcBorders>
              <w:top w:val="nil"/>
              <w:bottom w:val="nil"/>
            </w:tcBorders>
          </w:tcPr>
          <w:p w14:paraId="00FED27C" w14:textId="4EC4CDDA" w:rsidR="00C73E4A" w:rsidRPr="00C73E4A" w:rsidRDefault="00C73E4A" w:rsidP="00196357">
            <w:pPr>
              <w:tabs>
                <w:tab w:val="decimal" w:pos="1107"/>
              </w:tabs>
              <w:rPr>
                <w:rFonts w:ascii="Times New Roman" w:hAnsi="Times New Roman" w:cs="Times New Roman"/>
              </w:rPr>
            </w:pPr>
            <w:r w:rsidRPr="00C73E4A">
              <w:rPr>
                <w:rFonts w:ascii="Times New Roman" w:hAnsi="Times New Roman" w:cs="Times New Roman"/>
              </w:rPr>
              <w:t>43</w:t>
            </w:r>
          </w:p>
        </w:tc>
        <w:tc>
          <w:tcPr>
            <w:tcW w:w="2125" w:type="dxa"/>
            <w:tcBorders>
              <w:top w:val="nil"/>
              <w:bottom w:val="nil"/>
            </w:tcBorders>
          </w:tcPr>
          <w:p w14:paraId="4ADDA062" w14:textId="6F19F1E5" w:rsidR="00C73E4A" w:rsidRPr="00C73E4A" w:rsidRDefault="00C73E4A" w:rsidP="00196357">
            <w:pPr>
              <w:tabs>
                <w:tab w:val="decimal" w:pos="1221"/>
              </w:tabs>
              <w:rPr>
                <w:rFonts w:ascii="Times New Roman" w:hAnsi="Times New Roman" w:cs="Times New Roman"/>
              </w:rPr>
            </w:pPr>
            <w:r w:rsidRPr="00C73E4A">
              <w:rPr>
                <w:rFonts w:ascii="Times New Roman" w:hAnsi="Times New Roman" w:cs="Times New Roman"/>
              </w:rPr>
              <w:t>75</w:t>
            </w:r>
          </w:p>
        </w:tc>
      </w:tr>
      <w:tr w:rsidR="00C73E4A" w:rsidRPr="00B824AA" w14:paraId="5240CB5D" w14:textId="77777777" w:rsidTr="00CE2423">
        <w:tc>
          <w:tcPr>
            <w:tcW w:w="2689" w:type="dxa"/>
            <w:tcBorders>
              <w:top w:val="nil"/>
              <w:bottom w:val="nil"/>
            </w:tcBorders>
          </w:tcPr>
          <w:p w14:paraId="53D61752" w14:textId="77777777" w:rsidR="00C73E4A" w:rsidRPr="00B824AA" w:rsidRDefault="00C73E4A" w:rsidP="00196357">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574989F1" w14:textId="5161C5E4" w:rsidR="00C73E4A" w:rsidRPr="00C73E4A" w:rsidRDefault="00C73E4A" w:rsidP="00196357">
            <w:pPr>
              <w:tabs>
                <w:tab w:val="decimal" w:pos="1135"/>
              </w:tabs>
              <w:rPr>
                <w:rFonts w:ascii="Times New Roman" w:hAnsi="Times New Roman" w:cs="Times New Roman"/>
              </w:rPr>
            </w:pPr>
            <w:r w:rsidRPr="00C73E4A">
              <w:rPr>
                <w:rFonts w:ascii="Times New Roman" w:hAnsi="Times New Roman" w:cs="Times New Roman"/>
              </w:rPr>
              <w:t>52</w:t>
            </w:r>
          </w:p>
        </w:tc>
        <w:tc>
          <w:tcPr>
            <w:tcW w:w="2124" w:type="dxa"/>
            <w:tcBorders>
              <w:top w:val="nil"/>
              <w:bottom w:val="nil"/>
            </w:tcBorders>
          </w:tcPr>
          <w:p w14:paraId="3B3DC4A2" w14:textId="2EF1A4A7" w:rsidR="00C73E4A" w:rsidRPr="00C73E4A" w:rsidRDefault="00C73E4A" w:rsidP="00196357">
            <w:pPr>
              <w:tabs>
                <w:tab w:val="decimal" w:pos="1107"/>
              </w:tabs>
              <w:rPr>
                <w:rFonts w:ascii="Times New Roman" w:hAnsi="Times New Roman" w:cs="Times New Roman"/>
              </w:rPr>
            </w:pPr>
            <w:r w:rsidRPr="00C73E4A">
              <w:rPr>
                <w:rFonts w:ascii="Times New Roman" w:hAnsi="Times New Roman" w:cs="Times New Roman"/>
              </w:rPr>
              <w:t>46</w:t>
            </w:r>
          </w:p>
        </w:tc>
        <w:tc>
          <w:tcPr>
            <w:tcW w:w="2125" w:type="dxa"/>
            <w:tcBorders>
              <w:top w:val="nil"/>
              <w:bottom w:val="nil"/>
            </w:tcBorders>
          </w:tcPr>
          <w:p w14:paraId="4BAD4BC6" w14:textId="074678EE" w:rsidR="00C73E4A" w:rsidRPr="00C73E4A" w:rsidRDefault="00C73E4A" w:rsidP="00196357">
            <w:pPr>
              <w:tabs>
                <w:tab w:val="decimal" w:pos="1221"/>
              </w:tabs>
              <w:rPr>
                <w:rFonts w:ascii="Times New Roman" w:hAnsi="Times New Roman" w:cs="Times New Roman"/>
              </w:rPr>
            </w:pPr>
            <w:r w:rsidRPr="00C73E4A">
              <w:rPr>
                <w:rFonts w:ascii="Times New Roman" w:hAnsi="Times New Roman" w:cs="Times New Roman"/>
              </w:rPr>
              <w:t>76</w:t>
            </w:r>
          </w:p>
        </w:tc>
      </w:tr>
      <w:tr w:rsidR="00C73E4A" w:rsidRPr="00B824AA" w14:paraId="62CB47CB" w14:textId="77777777" w:rsidTr="00CE2423">
        <w:tc>
          <w:tcPr>
            <w:tcW w:w="2689" w:type="dxa"/>
            <w:tcBorders>
              <w:top w:val="nil"/>
              <w:bottom w:val="nil"/>
            </w:tcBorders>
          </w:tcPr>
          <w:p w14:paraId="4AF2CF2D" w14:textId="6A3AD58A" w:rsidR="00C73E4A" w:rsidRPr="00B824AA" w:rsidRDefault="00C73E4A" w:rsidP="00196357">
            <w:pPr>
              <w:ind w:left="316"/>
              <w:rPr>
                <w:rFonts w:ascii="Times New Roman" w:hAnsi="Times New Roman" w:cs="Times New Roman"/>
                <w:color w:val="000000"/>
              </w:rPr>
            </w:pPr>
            <w:r>
              <w:rPr>
                <w:rFonts w:ascii="Times New Roman" w:hAnsi="Times New Roman" w:cs="Times New Roman"/>
                <w:color w:val="000000"/>
              </w:rPr>
              <w:t>2021</w:t>
            </w:r>
          </w:p>
        </w:tc>
        <w:tc>
          <w:tcPr>
            <w:tcW w:w="2124" w:type="dxa"/>
            <w:tcBorders>
              <w:top w:val="nil"/>
              <w:bottom w:val="nil"/>
            </w:tcBorders>
          </w:tcPr>
          <w:p w14:paraId="6002CCC2" w14:textId="359A0945" w:rsidR="00C73E4A" w:rsidRPr="00C73E4A" w:rsidRDefault="00C73E4A" w:rsidP="00196357">
            <w:pPr>
              <w:tabs>
                <w:tab w:val="decimal" w:pos="1135"/>
              </w:tabs>
              <w:rPr>
                <w:rFonts w:ascii="Times New Roman" w:hAnsi="Times New Roman" w:cs="Times New Roman"/>
                <w:color w:val="000000"/>
              </w:rPr>
            </w:pPr>
            <w:r w:rsidRPr="00C73E4A">
              <w:rPr>
                <w:rFonts w:ascii="Times New Roman" w:hAnsi="Times New Roman" w:cs="Times New Roman"/>
              </w:rPr>
              <w:t>52</w:t>
            </w:r>
          </w:p>
        </w:tc>
        <w:tc>
          <w:tcPr>
            <w:tcW w:w="2124" w:type="dxa"/>
            <w:tcBorders>
              <w:top w:val="nil"/>
              <w:bottom w:val="nil"/>
            </w:tcBorders>
          </w:tcPr>
          <w:p w14:paraId="66761F64" w14:textId="7162687E" w:rsidR="00C73E4A" w:rsidRPr="00C73E4A" w:rsidRDefault="00C73E4A" w:rsidP="00196357">
            <w:pPr>
              <w:tabs>
                <w:tab w:val="decimal" w:pos="1107"/>
              </w:tabs>
              <w:rPr>
                <w:rFonts w:ascii="Times New Roman" w:hAnsi="Times New Roman" w:cs="Times New Roman"/>
                <w:color w:val="000000"/>
              </w:rPr>
            </w:pPr>
            <w:r w:rsidRPr="00C73E4A">
              <w:rPr>
                <w:rFonts w:ascii="Times New Roman" w:hAnsi="Times New Roman" w:cs="Times New Roman"/>
              </w:rPr>
              <w:t>46</w:t>
            </w:r>
          </w:p>
        </w:tc>
        <w:tc>
          <w:tcPr>
            <w:tcW w:w="2125" w:type="dxa"/>
            <w:tcBorders>
              <w:top w:val="nil"/>
              <w:bottom w:val="nil"/>
            </w:tcBorders>
          </w:tcPr>
          <w:p w14:paraId="5C9F3544" w14:textId="674F8E1A" w:rsidR="00C73E4A" w:rsidRPr="00C73E4A" w:rsidRDefault="00C73E4A" w:rsidP="00196357">
            <w:pPr>
              <w:tabs>
                <w:tab w:val="decimal" w:pos="1221"/>
              </w:tabs>
              <w:rPr>
                <w:rFonts w:ascii="Times New Roman" w:hAnsi="Times New Roman" w:cs="Times New Roman"/>
                <w:color w:val="000000"/>
              </w:rPr>
            </w:pPr>
            <w:r w:rsidRPr="00C73E4A">
              <w:rPr>
                <w:rFonts w:ascii="Times New Roman" w:hAnsi="Times New Roman" w:cs="Times New Roman"/>
              </w:rPr>
              <w:t>76</w:t>
            </w:r>
          </w:p>
        </w:tc>
      </w:tr>
      <w:tr w:rsidR="00C73E4A" w:rsidRPr="00B824AA" w14:paraId="7987CFC6" w14:textId="77777777" w:rsidTr="00CE2423">
        <w:tc>
          <w:tcPr>
            <w:tcW w:w="2689" w:type="dxa"/>
            <w:tcBorders>
              <w:top w:val="nil"/>
              <w:bottom w:val="nil"/>
            </w:tcBorders>
          </w:tcPr>
          <w:p w14:paraId="1E8BE75E" w14:textId="6E1EFDA6" w:rsidR="00C73E4A" w:rsidRPr="00B824AA" w:rsidRDefault="00C73E4A" w:rsidP="00196357">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7837D118" w14:textId="720B5DAC" w:rsidR="00C73E4A" w:rsidRPr="00C73E4A" w:rsidRDefault="00C73E4A" w:rsidP="00196357">
            <w:pPr>
              <w:tabs>
                <w:tab w:val="decimal" w:pos="1135"/>
              </w:tabs>
              <w:rPr>
                <w:rFonts w:ascii="Times New Roman" w:hAnsi="Times New Roman" w:cs="Times New Roman"/>
                <w:color w:val="000000"/>
              </w:rPr>
            </w:pPr>
            <w:r w:rsidRPr="00C73E4A">
              <w:rPr>
                <w:rFonts w:ascii="Times New Roman" w:hAnsi="Times New Roman" w:cs="Times New Roman"/>
              </w:rPr>
              <w:t>52</w:t>
            </w:r>
          </w:p>
        </w:tc>
        <w:tc>
          <w:tcPr>
            <w:tcW w:w="2124" w:type="dxa"/>
            <w:tcBorders>
              <w:top w:val="nil"/>
              <w:bottom w:val="nil"/>
            </w:tcBorders>
          </w:tcPr>
          <w:p w14:paraId="105D7EA8" w14:textId="391594B5" w:rsidR="00C73E4A" w:rsidRPr="00C73E4A" w:rsidRDefault="00C73E4A" w:rsidP="00196357">
            <w:pPr>
              <w:tabs>
                <w:tab w:val="decimal" w:pos="1107"/>
              </w:tabs>
              <w:rPr>
                <w:rFonts w:ascii="Times New Roman" w:hAnsi="Times New Roman" w:cs="Times New Roman"/>
                <w:color w:val="000000"/>
              </w:rPr>
            </w:pPr>
            <w:r w:rsidRPr="00C73E4A">
              <w:rPr>
                <w:rFonts w:ascii="Times New Roman" w:hAnsi="Times New Roman" w:cs="Times New Roman"/>
              </w:rPr>
              <w:t>46</w:t>
            </w:r>
          </w:p>
        </w:tc>
        <w:tc>
          <w:tcPr>
            <w:tcW w:w="2125" w:type="dxa"/>
            <w:tcBorders>
              <w:top w:val="nil"/>
              <w:bottom w:val="nil"/>
            </w:tcBorders>
          </w:tcPr>
          <w:p w14:paraId="6DD0ACF3" w14:textId="0BF6BBF3" w:rsidR="00C73E4A" w:rsidRPr="00C73E4A" w:rsidRDefault="00C73E4A" w:rsidP="00196357">
            <w:pPr>
              <w:tabs>
                <w:tab w:val="decimal" w:pos="1221"/>
              </w:tabs>
              <w:rPr>
                <w:rFonts w:ascii="Times New Roman" w:hAnsi="Times New Roman" w:cs="Times New Roman"/>
                <w:color w:val="000000"/>
              </w:rPr>
            </w:pPr>
            <w:r w:rsidRPr="00C73E4A">
              <w:rPr>
                <w:rFonts w:ascii="Times New Roman" w:hAnsi="Times New Roman" w:cs="Times New Roman"/>
              </w:rPr>
              <w:t>76</w:t>
            </w:r>
          </w:p>
        </w:tc>
      </w:tr>
      <w:tr w:rsidR="00866620" w:rsidRPr="00B824AA" w14:paraId="492884BE" w14:textId="77777777" w:rsidTr="005B1B67">
        <w:tc>
          <w:tcPr>
            <w:tcW w:w="2689" w:type="dxa"/>
            <w:tcBorders>
              <w:top w:val="nil"/>
              <w:bottom w:val="nil"/>
            </w:tcBorders>
          </w:tcPr>
          <w:p w14:paraId="778090D2" w14:textId="77777777" w:rsidR="00866620" w:rsidRDefault="00866620" w:rsidP="00196357">
            <w:pPr>
              <w:ind w:left="316"/>
              <w:rPr>
                <w:rFonts w:ascii="Times New Roman" w:hAnsi="Times New Roman" w:cs="Times New Roman"/>
                <w:color w:val="000000"/>
              </w:rPr>
            </w:pPr>
          </w:p>
        </w:tc>
        <w:tc>
          <w:tcPr>
            <w:tcW w:w="2124" w:type="dxa"/>
            <w:tcBorders>
              <w:top w:val="nil"/>
              <w:bottom w:val="nil"/>
            </w:tcBorders>
            <w:vAlign w:val="bottom"/>
          </w:tcPr>
          <w:p w14:paraId="1A40B29D" w14:textId="77777777" w:rsidR="00866620" w:rsidRPr="00B824AA" w:rsidRDefault="00866620" w:rsidP="00196357">
            <w:pPr>
              <w:tabs>
                <w:tab w:val="decimal" w:pos="1135"/>
              </w:tabs>
              <w:rPr>
                <w:rFonts w:ascii="Times New Roman" w:hAnsi="Times New Roman" w:cs="Times New Roman"/>
                <w:color w:val="000000"/>
              </w:rPr>
            </w:pPr>
          </w:p>
        </w:tc>
        <w:tc>
          <w:tcPr>
            <w:tcW w:w="2124" w:type="dxa"/>
            <w:tcBorders>
              <w:top w:val="nil"/>
              <w:bottom w:val="nil"/>
            </w:tcBorders>
            <w:vAlign w:val="bottom"/>
          </w:tcPr>
          <w:p w14:paraId="3F110149" w14:textId="77777777" w:rsidR="00866620" w:rsidRPr="00B824AA" w:rsidRDefault="00866620" w:rsidP="00196357">
            <w:pPr>
              <w:tabs>
                <w:tab w:val="decimal" w:pos="1107"/>
              </w:tabs>
              <w:rPr>
                <w:rFonts w:ascii="Times New Roman" w:hAnsi="Times New Roman" w:cs="Times New Roman"/>
                <w:color w:val="000000"/>
              </w:rPr>
            </w:pPr>
          </w:p>
        </w:tc>
        <w:tc>
          <w:tcPr>
            <w:tcW w:w="2125" w:type="dxa"/>
            <w:tcBorders>
              <w:top w:val="nil"/>
              <w:bottom w:val="nil"/>
            </w:tcBorders>
            <w:vAlign w:val="bottom"/>
          </w:tcPr>
          <w:p w14:paraId="0A6B159B" w14:textId="77777777" w:rsidR="00866620" w:rsidRPr="00B824AA" w:rsidRDefault="00866620" w:rsidP="00196357">
            <w:pPr>
              <w:tabs>
                <w:tab w:val="decimal" w:pos="1221"/>
              </w:tabs>
              <w:rPr>
                <w:rFonts w:ascii="Times New Roman" w:hAnsi="Times New Roman" w:cs="Times New Roman"/>
                <w:color w:val="000000"/>
              </w:rPr>
            </w:pPr>
          </w:p>
        </w:tc>
      </w:tr>
      <w:tr w:rsidR="00534A2E" w:rsidRPr="00B824AA" w14:paraId="39DFCB27" w14:textId="77777777" w:rsidTr="005B1B67">
        <w:tc>
          <w:tcPr>
            <w:tcW w:w="2689" w:type="dxa"/>
            <w:tcBorders>
              <w:top w:val="nil"/>
              <w:bottom w:val="nil"/>
            </w:tcBorders>
          </w:tcPr>
          <w:p w14:paraId="1AC67FDC" w14:textId="29A85922" w:rsidR="00534A2E" w:rsidRPr="00B824AA" w:rsidRDefault="00534A2E" w:rsidP="00CC3BD8">
            <w:pPr>
              <w:ind w:left="316"/>
              <w:rPr>
                <w:rFonts w:ascii="Times New Roman" w:hAnsi="Times New Roman" w:cs="Times New Roman"/>
              </w:rPr>
            </w:pPr>
            <w:r w:rsidRPr="00B824AA">
              <w:rPr>
                <w:rFonts w:ascii="Times New Roman" w:hAnsi="Times New Roman" w:cs="Times New Roman"/>
              </w:rPr>
              <w:t>Emisje do atmosfery</w:t>
            </w:r>
          </w:p>
        </w:tc>
        <w:tc>
          <w:tcPr>
            <w:tcW w:w="2124" w:type="dxa"/>
            <w:tcBorders>
              <w:top w:val="nil"/>
              <w:bottom w:val="nil"/>
            </w:tcBorders>
          </w:tcPr>
          <w:p w14:paraId="4C23E2ED"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17C58D4B"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10CA3F01" w14:textId="77777777" w:rsidR="00534A2E" w:rsidRPr="00B824AA" w:rsidRDefault="00534A2E" w:rsidP="00CC3BD8">
            <w:pPr>
              <w:tabs>
                <w:tab w:val="decimal" w:pos="1221"/>
              </w:tabs>
              <w:rPr>
                <w:rFonts w:ascii="Times New Roman" w:hAnsi="Times New Roman" w:cs="Times New Roman"/>
              </w:rPr>
            </w:pPr>
          </w:p>
        </w:tc>
      </w:tr>
      <w:tr w:rsidR="00BD5368" w:rsidRPr="00B824AA" w14:paraId="35999754" w14:textId="77777777" w:rsidTr="006C17CA">
        <w:tc>
          <w:tcPr>
            <w:tcW w:w="2689" w:type="dxa"/>
            <w:tcBorders>
              <w:top w:val="nil"/>
              <w:bottom w:val="nil"/>
            </w:tcBorders>
          </w:tcPr>
          <w:p w14:paraId="59815D13" w14:textId="77777777" w:rsidR="00BD5368" w:rsidRPr="00B824AA" w:rsidRDefault="00BD5368" w:rsidP="00196357">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52DC8DCC" w14:textId="4F2127C5" w:rsidR="00BD5368" w:rsidRPr="00BD5368" w:rsidRDefault="00BD5368" w:rsidP="00196357">
            <w:pPr>
              <w:tabs>
                <w:tab w:val="decimal" w:pos="1135"/>
              </w:tabs>
              <w:rPr>
                <w:rFonts w:ascii="Times New Roman" w:hAnsi="Times New Roman" w:cs="Times New Roman"/>
              </w:rPr>
            </w:pPr>
            <w:r w:rsidRPr="00BD5368">
              <w:rPr>
                <w:rFonts w:ascii="Times New Roman" w:hAnsi="Times New Roman" w:cs="Times New Roman"/>
              </w:rPr>
              <w:t>67</w:t>
            </w:r>
          </w:p>
        </w:tc>
        <w:tc>
          <w:tcPr>
            <w:tcW w:w="2124" w:type="dxa"/>
            <w:tcBorders>
              <w:top w:val="nil"/>
              <w:bottom w:val="nil"/>
            </w:tcBorders>
          </w:tcPr>
          <w:p w14:paraId="7238BA86" w14:textId="45FF805D" w:rsidR="00BD5368" w:rsidRPr="00BD5368" w:rsidRDefault="00BD5368" w:rsidP="00196357">
            <w:pPr>
              <w:tabs>
                <w:tab w:val="decimal" w:pos="1107"/>
              </w:tabs>
              <w:rPr>
                <w:rFonts w:ascii="Times New Roman" w:hAnsi="Times New Roman" w:cs="Times New Roman"/>
              </w:rPr>
            </w:pPr>
            <w:r w:rsidRPr="00BD5368">
              <w:rPr>
                <w:rFonts w:ascii="Times New Roman" w:hAnsi="Times New Roman" w:cs="Times New Roman"/>
              </w:rPr>
              <w:t>57</w:t>
            </w:r>
          </w:p>
        </w:tc>
        <w:tc>
          <w:tcPr>
            <w:tcW w:w="2125" w:type="dxa"/>
            <w:tcBorders>
              <w:top w:val="nil"/>
              <w:bottom w:val="nil"/>
            </w:tcBorders>
          </w:tcPr>
          <w:p w14:paraId="0558AAB5" w14:textId="75EC5AC8" w:rsidR="00BD5368" w:rsidRPr="00BD5368" w:rsidRDefault="00BD5368" w:rsidP="00196357">
            <w:pPr>
              <w:tabs>
                <w:tab w:val="decimal" w:pos="1221"/>
              </w:tabs>
              <w:rPr>
                <w:rFonts w:ascii="Times New Roman" w:hAnsi="Times New Roman" w:cs="Times New Roman"/>
              </w:rPr>
            </w:pPr>
            <w:r w:rsidRPr="00BD5368">
              <w:rPr>
                <w:rFonts w:ascii="Times New Roman" w:hAnsi="Times New Roman" w:cs="Times New Roman"/>
              </w:rPr>
              <w:t>154</w:t>
            </w:r>
          </w:p>
        </w:tc>
      </w:tr>
      <w:tr w:rsidR="00BD5368" w:rsidRPr="00B824AA" w14:paraId="1A6BC215" w14:textId="77777777" w:rsidTr="006C17CA">
        <w:tc>
          <w:tcPr>
            <w:tcW w:w="2689" w:type="dxa"/>
            <w:tcBorders>
              <w:top w:val="nil"/>
              <w:bottom w:val="nil"/>
            </w:tcBorders>
          </w:tcPr>
          <w:p w14:paraId="604F467C" w14:textId="77777777" w:rsidR="00BD5368" w:rsidRPr="00B824AA" w:rsidRDefault="00BD5368" w:rsidP="00196357">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5C4FDC23" w14:textId="0763932F" w:rsidR="00BD5368" w:rsidRPr="00BD5368" w:rsidRDefault="00BD5368" w:rsidP="00196357">
            <w:pPr>
              <w:tabs>
                <w:tab w:val="decimal" w:pos="1135"/>
              </w:tabs>
              <w:rPr>
                <w:rFonts w:ascii="Times New Roman" w:hAnsi="Times New Roman" w:cs="Times New Roman"/>
              </w:rPr>
            </w:pPr>
            <w:r w:rsidRPr="00BD5368">
              <w:rPr>
                <w:rFonts w:ascii="Times New Roman" w:hAnsi="Times New Roman" w:cs="Times New Roman"/>
              </w:rPr>
              <w:t>62</w:t>
            </w:r>
          </w:p>
        </w:tc>
        <w:tc>
          <w:tcPr>
            <w:tcW w:w="2124" w:type="dxa"/>
            <w:tcBorders>
              <w:top w:val="nil"/>
              <w:bottom w:val="nil"/>
            </w:tcBorders>
          </w:tcPr>
          <w:p w14:paraId="7EBD036D" w14:textId="1212348A" w:rsidR="00BD5368" w:rsidRPr="00BD5368" w:rsidRDefault="00BD5368" w:rsidP="00196357">
            <w:pPr>
              <w:tabs>
                <w:tab w:val="decimal" w:pos="1107"/>
              </w:tabs>
              <w:rPr>
                <w:rFonts w:ascii="Times New Roman" w:hAnsi="Times New Roman" w:cs="Times New Roman"/>
              </w:rPr>
            </w:pPr>
            <w:r w:rsidRPr="00BD5368">
              <w:rPr>
                <w:rFonts w:ascii="Times New Roman" w:hAnsi="Times New Roman" w:cs="Times New Roman"/>
              </w:rPr>
              <w:t>52</w:t>
            </w:r>
          </w:p>
        </w:tc>
        <w:tc>
          <w:tcPr>
            <w:tcW w:w="2125" w:type="dxa"/>
            <w:tcBorders>
              <w:top w:val="nil"/>
              <w:bottom w:val="nil"/>
            </w:tcBorders>
          </w:tcPr>
          <w:p w14:paraId="34396F33" w14:textId="5F764A07" w:rsidR="00BD5368" w:rsidRPr="00BD5368" w:rsidRDefault="00BD5368" w:rsidP="00196357">
            <w:pPr>
              <w:tabs>
                <w:tab w:val="decimal" w:pos="1221"/>
              </w:tabs>
              <w:rPr>
                <w:rFonts w:ascii="Times New Roman" w:hAnsi="Times New Roman" w:cs="Times New Roman"/>
              </w:rPr>
            </w:pPr>
            <w:r w:rsidRPr="00BD5368">
              <w:rPr>
                <w:rFonts w:ascii="Times New Roman" w:hAnsi="Times New Roman" w:cs="Times New Roman"/>
              </w:rPr>
              <w:t>154</w:t>
            </w:r>
          </w:p>
        </w:tc>
      </w:tr>
      <w:tr w:rsidR="00BD5368" w:rsidRPr="00B824AA" w14:paraId="7B548030" w14:textId="77777777" w:rsidTr="006C17CA">
        <w:tc>
          <w:tcPr>
            <w:tcW w:w="2689" w:type="dxa"/>
            <w:tcBorders>
              <w:top w:val="nil"/>
              <w:bottom w:val="nil"/>
            </w:tcBorders>
          </w:tcPr>
          <w:p w14:paraId="33016F34" w14:textId="77777777" w:rsidR="00BD5368" w:rsidRPr="00B824AA" w:rsidRDefault="00BD5368" w:rsidP="00196357">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5913F3FB" w14:textId="5802DBB6" w:rsidR="00BD5368" w:rsidRPr="00BD5368" w:rsidRDefault="00BD5368" w:rsidP="00196357">
            <w:pPr>
              <w:tabs>
                <w:tab w:val="decimal" w:pos="1135"/>
              </w:tabs>
              <w:rPr>
                <w:rFonts w:ascii="Times New Roman" w:hAnsi="Times New Roman" w:cs="Times New Roman"/>
              </w:rPr>
            </w:pPr>
            <w:r w:rsidRPr="00BD5368">
              <w:rPr>
                <w:rFonts w:ascii="Times New Roman" w:hAnsi="Times New Roman" w:cs="Times New Roman"/>
              </w:rPr>
              <w:t>52</w:t>
            </w:r>
          </w:p>
        </w:tc>
        <w:tc>
          <w:tcPr>
            <w:tcW w:w="2124" w:type="dxa"/>
            <w:tcBorders>
              <w:top w:val="nil"/>
              <w:bottom w:val="nil"/>
            </w:tcBorders>
          </w:tcPr>
          <w:p w14:paraId="6D83D912" w14:textId="00B3C7E9" w:rsidR="00BD5368" w:rsidRPr="00BD5368" w:rsidRDefault="00BD5368" w:rsidP="00196357">
            <w:pPr>
              <w:tabs>
                <w:tab w:val="decimal" w:pos="1107"/>
              </w:tabs>
              <w:rPr>
                <w:rFonts w:ascii="Times New Roman" w:hAnsi="Times New Roman" w:cs="Times New Roman"/>
              </w:rPr>
            </w:pPr>
            <w:r w:rsidRPr="00BD5368">
              <w:rPr>
                <w:rFonts w:ascii="Times New Roman" w:hAnsi="Times New Roman" w:cs="Times New Roman"/>
              </w:rPr>
              <w:t>43</w:t>
            </w:r>
          </w:p>
        </w:tc>
        <w:tc>
          <w:tcPr>
            <w:tcW w:w="2125" w:type="dxa"/>
            <w:tcBorders>
              <w:top w:val="nil"/>
              <w:bottom w:val="nil"/>
            </w:tcBorders>
          </w:tcPr>
          <w:p w14:paraId="762B6F29" w14:textId="0C08F39D" w:rsidR="00BD5368" w:rsidRPr="00BD5368" w:rsidRDefault="00BD5368" w:rsidP="00196357">
            <w:pPr>
              <w:tabs>
                <w:tab w:val="decimal" w:pos="1221"/>
              </w:tabs>
              <w:rPr>
                <w:rFonts w:ascii="Times New Roman" w:hAnsi="Times New Roman" w:cs="Times New Roman"/>
              </w:rPr>
            </w:pPr>
            <w:r w:rsidRPr="00BD5368">
              <w:rPr>
                <w:rFonts w:ascii="Times New Roman" w:hAnsi="Times New Roman" w:cs="Times New Roman"/>
              </w:rPr>
              <w:t>153</w:t>
            </w:r>
          </w:p>
        </w:tc>
      </w:tr>
      <w:tr w:rsidR="00BD5368" w:rsidRPr="00B824AA" w14:paraId="3F232703" w14:textId="77777777" w:rsidTr="006C17CA">
        <w:tc>
          <w:tcPr>
            <w:tcW w:w="2689" w:type="dxa"/>
            <w:tcBorders>
              <w:top w:val="nil"/>
              <w:bottom w:val="nil"/>
            </w:tcBorders>
            <w:vAlign w:val="center"/>
          </w:tcPr>
          <w:p w14:paraId="7CD5DD98" w14:textId="77777777" w:rsidR="00BD5368" w:rsidRPr="00B824AA" w:rsidRDefault="00BD5368" w:rsidP="00196357">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33A3161E" w14:textId="4E7689D4" w:rsidR="00BD5368" w:rsidRPr="00BD5368" w:rsidRDefault="00BD5368" w:rsidP="00196357">
            <w:pPr>
              <w:tabs>
                <w:tab w:val="decimal" w:pos="1135"/>
              </w:tabs>
              <w:rPr>
                <w:rFonts w:ascii="Times New Roman" w:hAnsi="Times New Roman" w:cs="Times New Roman"/>
              </w:rPr>
            </w:pPr>
            <w:r w:rsidRPr="00BD5368">
              <w:rPr>
                <w:rFonts w:ascii="Times New Roman" w:hAnsi="Times New Roman" w:cs="Times New Roman"/>
              </w:rPr>
              <w:t>51</w:t>
            </w:r>
          </w:p>
        </w:tc>
        <w:tc>
          <w:tcPr>
            <w:tcW w:w="2124" w:type="dxa"/>
            <w:tcBorders>
              <w:top w:val="nil"/>
              <w:bottom w:val="nil"/>
            </w:tcBorders>
          </w:tcPr>
          <w:p w14:paraId="12944728" w14:textId="34926D69" w:rsidR="00BD5368" w:rsidRPr="00BD5368" w:rsidRDefault="00BD5368" w:rsidP="00196357">
            <w:pPr>
              <w:tabs>
                <w:tab w:val="decimal" w:pos="1107"/>
              </w:tabs>
              <w:rPr>
                <w:rFonts w:ascii="Times New Roman" w:hAnsi="Times New Roman" w:cs="Times New Roman"/>
              </w:rPr>
            </w:pPr>
            <w:r w:rsidRPr="00BD5368">
              <w:rPr>
                <w:rFonts w:ascii="Times New Roman" w:hAnsi="Times New Roman" w:cs="Times New Roman"/>
              </w:rPr>
              <w:t>42</w:t>
            </w:r>
          </w:p>
        </w:tc>
        <w:tc>
          <w:tcPr>
            <w:tcW w:w="2125" w:type="dxa"/>
            <w:tcBorders>
              <w:top w:val="nil"/>
              <w:bottom w:val="nil"/>
            </w:tcBorders>
          </w:tcPr>
          <w:p w14:paraId="5D7A7D3B" w14:textId="707C19C7" w:rsidR="00BD5368" w:rsidRPr="00BD5368" w:rsidRDefault="00BD5368" w:rsidP="00196357">
            <w:pPr>
              <w:tabs>
                <w:tab w:val="decimal" w:pos="1221"/>
              </w:tabs>
              <w:rPr>
                <w:rFonts w:ascii="Times New Roman" w:hAnsi="Times New Roman" w:cs="Times New Roman"/>
              </w:rPr>
            </w:pPr>
            <w:r w:rsidRPr="00BD5368">
              <w:rPr>
                <w:rFonts w:ascii="Times New Roman" w:hAnsi="Times New Roman" w:cs="Times New Roman"/>
              </w:rPr>
              <w:t>152</w:t>
            </w:r>
          </w:p>
        </w:tc>
      </w:tr>
      <w:tr w:rsidR="00BD5368" w:rsidRPr="00B824AA" w14:paraId="24F56179" w14:textId="77777777" w:rsidTr="006C17CA">
        <w:tc>
          <w:tcPr>
            <w:tcW w:w="2689" w:type="dxa"/>
            <w:tcBorders>
              <w:top w:val="nil"/>
              <w:bottom w:val="nil"/>
            </w:tcBorders>
            <w:vAlign w:val="center"/>
          </w:tcPr>
          <w:p w14:paraId="238EA1B4" w14:textId="74A929A8" w:rsidR="00BD5368" w:rsidRPr="00B824AA" w:rsidRDefault="00BD5368" w:rsidP="00196357">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31DE4331" w14:textId="63F5CFD1" w:rsidR="00BD5368" w:rsidRPr="00BD5368" w:rsidRDefault="00BD5368" w:rsidP="00196357">
            <w:pPr>
              <w:tabs>
                <w:tab w:val="decimal" w:pos="1135"/>
              </w:tabs>
              <w:rPr>
                <w:rFonts w:ascii="Times New Roman" w:hAnsi="Times New Roman" w:cs="Times New Roman"/>
                <w:color w:val="000000"/>
              </w:rPr>
            </w:pPr>
            <w:r w:rsidRPr="00BD5368">
              <w:rPr>
                <w:rFonts w:ascii="Times New Roman" w:hAnsi="Times New Roman" w:cs="Times New Roman"/>
              </w:rPr>
              <w:t>52</w:t>
            </w:r>
          </w:p>
        </w:tc>
        <w:tc>
          <w:tcPr>
            <w:tcW w:w="2124" w:type="dxa"/>
            <w:tcBorders>
              <w:top w:val="nil"/>
              <w:bottom w:val="nil"/>
            </w:tcBorders>
          </w:tcPr>
          <w:p w14:paraId="36C48F9C" w14:textId="68326DC0" w:rsidR="00BD5368" w:rsidRPr="00BD5368" w:rsidRDefault="00BD5368" w:rsidP="00196357">
            <w:pPr>
              <w:tabs>
                <w:tab w:val="decimal" w:pos="1107"/>
              </w:tabs>
              <w:rPr>
                <w:rFonts w:ascii="Times New Roman" w:hAnsi="Times New Roman" w:cs="Times New Roman"/>
                <w:color w:val="000000"/>
              </w:rPr>
            </w:pPr>
            <w:r w:rsidRPr="00BD5368">
              <w:rPr>
                <w:rFonts w:ascii="Times New Roman" w:hAnsi="Times New Roman" w:cs="Times New Roman"/>
              </w:rPr>
              <w:t>43</w:t>
            </w:r>
          </w:p>
        </w:tc>
        <w:tc>
          <w:tcPr>
            <w:tcW w:w="2125" w:type="dxa"/>
            <w:tcBorders>
              <w:top w:val="nil"/>
              <w:bottom w:val="nil"/>
            </w:tcBorders>
          </w:tcPr>
          <w:p w14:paraId="2DC62139" w14:textId="71A93D02" w:rsidR="00BD5368" w:rsidRPr="00BD5368" w:rsidRDefault="00BD5368" w:rsidP="00196357">
            <w:pPr>
              <w:tabs>
                <w:tab w:val="decimal" w:pos="1221"/>
              </w:tabs>
              <w:rPr>
                <w:rFonts w:ascii="Times New Roman" w:hAnsi="Times New Roman" w:cs="Times New Roman"/>
                <w:color w:val="000000"/>
              </w:rPr>
            </w:pPr>
            <w:r w:rsidRPr="00BD5368">
              <w:rPr>
                <w:rFonts w:ascii="Times New Roman" w:hAnsi="Times New Roman" w:cs="Times New Roman"/>
              </w:rPr>
              <w:t>148</w:t>
            </w:r>
          </w:p>
        </w:tc>
      </w:tr>
      <w:tr w:rsidR="00866620" w:rsidRPr="00B824AA" w14:paraId="31095D1E" w14:textId="77777777" w:rsidTr="005B1B67">
        <w:tc>
          <w:tcPr>
            <w:tcW w:w="2689" w:type="dxa"/>
            <w:tcBorders>
              <w:top w:val="nil"/>
              <w:bottom w:val="nil"/>
            </w:tcBorders>
            <w:vAlign w:val="center"/>
          </w:tcPr>
          <w:p w14:paraId="10DABBA0" w14:textId="77777777" w:rsidR="00866620" w:rsidRDefault="00866620" w:rsidP="00196357">
            <w:pPr>
              <w:ind w:left="316"/>
              <w:rPr>
                <w:rFonts w:ascii="Times New Roman" w:hAnsi="Times New Roman" w:cs="Times New Roman"/>
                <w:color w:val="000000"/>
              </w:rPr>
            </w:pPr>
          </w:p>
        </w:tc>
        <w:tc>
          <w:tcPr>
            <w:tcW w:w="2124" w:type="dxa"/>
            <w:tcBorders>
              <w:top w:val="nil"/>
              <w:bottom w:val="nil"/>
            </w:tcBorders>
            <w:vAlign w:val="bottom"/>
          </w:tcPr>
          <w:p w14:paraId="325CB52E" w14:textId="77777777" w:rsidR="00866620" w:rsidRPr="00B824AA" w:rsidRDefault="00866620" w:rsidP="00196357">
            <w:pPr>
              <w:tabs>
                <w:tab w:val="decimal" w:pos="1135"/>
              </w:tabs>
              <w:rPr>
                <w:rFonts w:ascii="Times New Roman" w:hAnsi="Times New Roman" w:cs="Times New Roman"/>
                <w:color w:val="000000"/>
              </w:rPr>
            </w:pPr>
          </w:p>
        </w:tc>
        <w:tc>
          <w:tcPr>
            <w:tcW w:w="2124" w:type="dxa"/>
            <w:tcBorders>
              <w:top w:val="nil"/>
              <w:bottom w:val="nil"/>
            </w:tcBorders>
            <w:vAlign w:val="bottom"/>
          </w:tcPr>
          <w:p w14:paraId="299F6733" w14:textId="77777777" w:rsidR="00866620" w:rsidRPr="00B824AA" w:rsidRDefault="00866620" w:rsidP="00196357">
            <w:pPr>
              <w:tabs>
                <w:tab w:val="decimal" w:pos="1107"/>
              </w:tabs>
              <w:rPr>
                <w:rFonts w:ascii="Times New Roman" w:hAnsi="Times New Roman" w:cs="Times New Roman"/>
                <w:color w:val="000000"/>
              </w:rPr>
            </w:pPr>
          </w:p>
        </w:tc>
        <w:tc>
          <w:tcPr>
            <w:tcW w:w="2125" w:type="dxa"/>
            <w:tcBorders>
              <w:top w:val="nil"/>
              <w:bottom w:val="nil"/>
            </w:tcBorders>
            <w:vAlign w:val="bottom"/>
          </w:tcPr>
          <w:p w14:paraId="6346DFEC" w14:textId="77777777" w:rsidR="00866620" w:rsidRPr="00B824AA" w:rsidRDefault="00866620" w:rsidP="00196357">
            <w:pPr>
              <w:tabs>
                <w:tab w:val="decimal" w:pos="1221"/>
              </w:tabs>
              <w:rPr>
                <w:rFonts w:ascii="Times New Roman" w:hAnsi="Times New Roman" w:cs="Times New Roman"/>
                <w:color w:val="000000"/>
              </w:rPr>
            </w:pPr>
          </w:p>
        </w:tc>
      </w:tr>
      <w:tr w:rsidR="00534A2E" w:rsidRPr="00B824AA" w14:paraId="10174B83" w14:textId="77777777" w:rsidTr="005B1B67">
        <w:tc>
          <w:tcPr>
            <w:tcW w:w="2689" w:type="dxa"/>
            <w:tcBorders>
              <w:top w:val="nil"/>
              <w:bottom w:val="nil"/>
            </w:tcBorders>
          </w:tcPr>
          <w:p w14:paraId="73C69ADC" w14:textId="429C6B1E" w:rsidR="00534A2E" w:rsidRPr="00B824AA" w:rsidRDefault="00534A2E" w:rsidP="00CC3BD8">
            <w:pPr>
              <w:ind w:left="316"/>
              <w:rPr>
                <w:rFonts w:ascii="Times New Roman" w:hAnsi="Times New Roman" w:cs="Times New Roman"/>
              </w:rPr>
            </w:pPr>
            <w:r w:rsidRPr="00B824AA">
              <w:rPr>
                <w:rFonts w:ascii="Times New Roman" w:hAnsi="Times New Roman" w:cs="Times New Roman"/>
              </w:rPr>
              <w:t>Zużycie energii odnawialnej przez przedsiębiorstwa</w:t>
            </w:r>
          </w:p>
        </w:tc>
        <w:tc>
          <w:tcPr>
            <w:tcW w:w="2124" w:type="dxa"/>
            <w:tcBorders>
              <w:top w:val="nil"/>
              <w:bottom w:val="nil"/>
            </w:tcBorders>
          </w:tcPr>
          <w:p w14:paraId="252FD9A4"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37BD3BD3"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71ACDFEC" w14:textId="77777777" w:rsidR="00534A2E" w:rsidRPr="00B824AA" w:rsidRDefault="00534A2E" w:rsidP="00CC3BD8">
            <w:pPr>
              <w:tabs>
                <w:tab w:val="decimal" w:pos="1221"/>
              </w:tabs>
              <w:rPr>
                <w:rFonts w:ascii="Times New Roman" w:hAnsi="Times New Roman" w:cs="Times New Roman"/>
              </w:rPr>
            </w:pPr>
          </w:p>
        </w:tc>
      </w:tr>
      <w:tr w:rsidR="002572FD" w:rsidRPr="00B824AA" w14:paraId="65B30B51" w14:textId="77777777" w:rsidTr="00703685">
        <w:tc>
          <w:tcPr>
            <w:tcW w:w="2689" w:type="dxa"/>
            <w:tcBorders>
              <w:top w:val="nil"/>
              <w:bottom w:val="nil"/>
            </w:tcBorders>
          </w:tcPr>
          <w:p w14:paraId="68B88DEB" w14:textId="77777777" w:rsidR="002572FD" w:rsidRPr="00B824AA" w:rsidRDefault="002572FD" w:rsidP="000850E1">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0B296C75" w14:textId="3A5AAD9C" w:rsidR="002572FD" w:rsidRPr="002572FD" w:rsidRDefault="002572FD" w:rsidP="000850E1">
            <w:pPr>
              <w:tabs>
                <w:tab w:val="decimal" w:pos="1135"/>
              </w:tabs>
              <w:rPr>
                <w:rFonts w:ascii="Times New Roman" w:hAnsi="Times New Roman" w:cs="Times New Roman"/>
              </w:rPr>
            </w:pPr>
            <w:r w:rsidRPr="002572FD">
              <w:rPr>
                <w:rFonts w:ascii="Times New Roman" w:hAnsi="Times New Roman" w:cs="Times New Roman"/>
              </w:rPr>
              <w:t>66</w:t>
            </w:r>
          </w:p>
        </w:tc>
        <w:tc>
          <w:tcPr>
            <w:tcW w:w="2124" w:type="dxa"/>
            <w:tcBorders>
              <w:top w:val="nil"/>
              <w:bottom w:val="nil"/>
            </w:tcBorders>
          </w:tcPr>
          <w:p w14:paraId="4F327030" w14:textId="43C31AEE" w:rsidR="002572FD" w:rsidRPr="002572FD" w:rsidRDefault="002572FD" w:rsidP="000850E1">
            <w:pPr>
              <w:tabs>
                <w:tab w:val="decimal" w:pos="1107"/>
              </w:tabs>
              <w:rPr>
                <w:rFonts w:ascii="Times New Roman" w:hAnsi="Times New Roman" w:cs="Times New Roman"/>
              </w:rPr>
            </w:pPr>
            <w:r w:rsidRPr="002572FD">
              <w:rPr>
                <w:rFonts w:ascii="Times New Roman" w:hAnsi="Times New Roman" w:cs="Times New Roman"/>
              </w:rPr>
              <w:t>65</w:t>
            </w:r>
          </w:p>
        </w:tc>
        <w:tc>
          <w:tcPr>
            <w:tcW w:w="2125" w:type="dxa"/>
            <w:tcBorders>
              <w:top w:val="nil"/>
              <w:bottom w:val="nil"/>
            </w:tcBorders>
          </w:tcPr>
          <w:p w14:paraId="5D06B74E" w14:textId="2EECED76" w:rsidR="002572FD" w:rsidRPr="002572FD" w:rsidRDefault="002572FD" w:rsidP="000850E1">
            <w:pPr>
              <w:tabs>
                <w:tab w:val="decimal" w:pos="1221"/>
              </w:tabs>
              <w:rPr>
                <w:rFonts w:ascii="Times New Roman" w:hAnsi="Times New Roman" w:cs="Times New Roman"/>
              </w:rPr>
            </w:pPr>
            <w:r w:rsidRPr="002572FD">
              <w:rPr>
                <w:rFonts w:ascii="Times New Roman" w:hAnsi="Times New Roman" w:cs="Times New Roman"/>
              </w:rPr>
              <w:t>69</w:t>
            </w:r>
          </w:p>
        </w:tc>
      </w:tr>
      <w:tr w:rsidR="002572FD" w:rsidRPr="00B824AA" w14:paraId="1E3C39FF" w14:textId="77777777" w:rsidTr="00703685">
        <w:tc>
          <w:tcPr>
            <w:tcW w:w="2689" w:type="dxa"/>
            <w:tcBorders>
              <w:top w:val="nil"/>
              <w:bottom w:val="nil"/>
            </w:tcBorders>
          </w:tcPr>
          <w:p w14:paraId="20C6166B" w14:textId="77777777" w:rsidR="002572FD" w:rsidRPr="00B824AA" w:rsidRDefault="002572FD" w:rsidP="000850E1">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6A56C13D" w14:textId="525E88E7" w:rsidR="002572FD" w:rsidRPr="002572FD" w:rsidRDefault="002572FD" w:rsidP="000850E1">
            <w:pPr>
              <w:tabs>
                <w:tab w:val="decimal" w:pos="1135"/>
              </w:tabs>
              <w:rPr>
                <w:rFonts w:ascii="Times New Roman" w:hAnsi="Times New Roman" w:cs="Times New Roman"/>
              </w:rPr>
            </w:pPr>
            <w:r w:rsidRPr="002572FD">
              <w:rPr>
                <w:rFonts w:ascii="Times New Roman" w:hAnsi="Times New Roman" w:cs="Times New Roman"/>
              </w:rPr>
              <w:t>68</w:t>
            </w:r>
          </w:p>
        </w:tc>
        <w:tc>
          <w:tcPr>
            <w:tcW w:w="2124" w:type="dxa"/>
            <w:tcBorders>
              <w:top w:val="nil"/>
              <w:bottom w:val="nil"/>
            </w:tcBorders>
          </w:tcPr>
          <w:p w14:paraId="1D402E1C" w14:textId="0FB6F93C" w:rsidR="002572FD" w:rsidRPr="002572FD" w:rsidRDefault="002572FD" w:rsidP="000850E1">
            <w:pPr>
              <w:tabs>
                <w:tab w:val="decimal" w:pos="1107"/>
              </w:tabs>
              <w:rPr>
                <w:rFonts w:ascii="Times New Roman" w:hAnsi="Times New Roman" w:cs="Times New Roman"/>
              </w:rPr>
            </w:pPr>
            <w:r w:rsidRPr="002572FD">
              <w:rPr>
                <w:rFonts w:ascii="Times New Roman" w:hAnsi="Times New Roman" w:cs="Times New Roman"/>
              </w:rPr>
              <w:t>67</w:t>
            </w:r>
          </w:p>
        </w:tc>
        <w:tc>
          <w:tcPr>
            <w:tcW w:w="2125" w:type="dxa"/>
            <w:tcBorders>
              <w:top w:val="nil"/>
              <w:bottom w:val="nil"/>
            </w:tcBorders>
          </w:tcPr>
          <w:p w14:paraId="42359FB2" w14:textId="79843B2D" w:rsidR="002572FD" w:rsidRPr="002572FD" w:rsidRDefault="002572FD" w:rsidP="000850E1">
            <w:pPr>
              <w:tabs>
                <w:tab w:val="decimal" w:pos="1221"/>
              </w:tabs>
              <w:rPr>
                <w:rFonts w:ascii="Times New Roman" w:hAnsi="Times New Roman" w:cs="Times New Roman"/>
              </w:rPr>
            </w:pPr>
            <w:r w:rsidRPr="002572FD">
              <w:rPr>
                <w:rFonts w:ascii="Times New Roman" w:hAnsi="Times New Roman" w:cs="Times New Roman"/>
              </w:rPr>
              <w:t>71</w:t>
            </w:r>
          </w:p>
        </w:tc>
      </w:tr>
      <w:tr w:rsidR="002572FD" w:rsidRPr="00B824AA" w14:paraId="4D24A3CC" w14:textId="77777777" w:rsidTr="00703685">
        <w:tc>
          <w:tcPr>
            <w:tcW w:w="2689" w:type="dxa"/>
            <w:tcBorders>
              <w:top w:val="nil"/>
              <w:bottom w:val="nil"/>
            </w:tcBorders>
          </w:tcPr>
          <w:p w14:paraId="0789A64F" w14:textId="77777777" w:rsidR="002572FD" w:rsidRPr="00B824AA" w:rsidRDefault="002572FD" w:rsidP="000850E1">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46BDE0CB" w14:textId="60DF1905" w:rsidR="002572FD" w:rsidRPr="002572FD" w:rsidRDefault="002572FD" w:rsidP="000850E1">
            <w:pPr>
              <w:tabs>
                <w:tab w:val="decimal" w:pos="1135"/>
              </w:tabs>
              <w:rPr>
                <w:rFonts w:ascii="Times New Roman" w:hAnsi="Times New Roman" w:cs="Times New Roman"/>
              </w:rPr>
            </w:pPr>
            <w:r w:rsidRPr="002572FD">
              <w:rPr>
                <w:rFonts w:ascii="Times New Roman" w:hAnsi="Times New Roman" w:cs="Times New Roman"/>
              </w:rPr>
              <w:t>74</w:t>
            </w:r>
          </w:p>
        </w:tc>
        <w:tc>
          <w:tcPr>
            <w:tcW w:w="2124" w:type="dxa"/>
            <w:tcBorders>
              <w:top w:val="nil"/>
              <w:bottom w:val="nil"/>
            </w:tcBorders>
          </w:tcPr>
          <w:p w14:paraId="7D659925" w14:textId="69CFAF67" w:rsidR="002572FD" w:rsidRPr="002572FD" w:rsidRDefault="002572FD" w:rsidP="000850E1">
            <w:pPr>
              <w:tabs>
                <w:tab w:val="decimal" w:pos="1107"/>
              </w:tabs>
              <w:rPr>
                <w:rFonts w:ascii="Times New Roman" w:hAnsi="Times New Roman" w:cs="Times New Roman"/>
              </w:rPr>
            </w:pPr>
            <w:r w:rsidRPr="002572FD">
              <w:rPr>
                <w:rFonts w:ascii="Times New Roman" w:hAnsi="Times New Roman" w:cs="Times New Roman"/>
              </w:rPr>
              <w:t>73</w:t>
            </w:r>
          </w:p>
        </w:tc>
        <w:tc>
          <w:tcPr>
            <w:tcW w:w="2125" w:type="dxa"/>
            <w:tcBorders>
              <w:top w:val="nil"/>
              <w:bottom w:val="nil"/>
            </w:tcBorders>
          </w:tcPr>
          <w:p w14:paraId="3DB112A2" w14:textId="5F88F369" w:rsidR="002572FD" w:rsidRPr="002572FD" w:rsidRDefault="002572FD" w:rsidP="000850E1">
            <w:pPr>
              <w:tabs>
                <w:tab w:val="decimal" w:pos="1221"/>
              </w:tabs>
              <w:rPr>
                <w:rFonts w:ascii="Times New Roman" w:hAnsi="Times New Roman" w:cs="Times New Roman"/>
              </w:rPr>
            </w:pPr>
            <w:r w:rsidRPr="002572FD">
              <w:rPr>
                <w:rFonts w:ascii="Times New Roman" w:hAnsi="Times New Roman" w:cs="Times New Roman"/>
              </w:rPr>
              <w:t>82</w:t>
            </w:r>
          </w:p>
        </w:tc>
      </w:tr>
      <w:tr w:rsidR="002572FD" w:rsidRPr="00B824AA" w14:paraId="0E55C414" w14:textId="77777777" w:rsidTr="00703685">
        <w:tc>
          <w:tcPr>
            <w:tcW w:w="2689" w:type="dxa"/>
            <w:tcBorders>
              <w:top w:val="nil"/>
              <w:bottom w:val="nil"/>
            </w:tcBorders>
            <w:vAlign w:val="center"/>
          </w:tcPr>
          <w:p w14:paraId="1EC2B171" w14:textId="77777777" w:rsidR="002572FD" w:rsidRPr="00B824AA" w:rsidRDefault="002572FD" w:rsidP="000850E1">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2E1DF094" w14:textId="23EED9B0" w:rsidR="002572FD" w:rsidRPr="002572FD" w:rsidRDefault="002572FD" w:rsidP="000850E1">
            <w:pPr>
              <w:tabs>
                <w:tab w:val="decimal" w:pos="1135"/>
              </w:tabs>
              <w:rPr>
                <w:rFonts w:ascii="Times New Roman" w:hAnsi="Times New Roman" w:cs="Times New Roman"/>
              </w:rPr>
            </w:pPr>
            <w:r w:rsidRPr="002572FD">
              <w:rPr>
                <w:rFonts w:ascii="Times New Roman" w:hAnsi="Times New Roman" w:cs="Times New Roman"/>
              </w:rPr>
              <w:t>72</w:t>
            </w:r>
          </w:p>
        </w:tc>
        <w:tc>
          <w:tcPr>
            <w:tcW w:w="2124" w:type="dxa"/>
            <w:tcBorders>
              <w:top w:val="nil"/>
              <w:bottom w:val="nil"/>
            </w:tcBorders>
          </w:tcPr>
          <w:p w14:paraId="4DA31DE7" w14:textId="1D2206E9" w:rsidR="002572FD" w:rsidRPr="002572FD" w:rsidRDefault="002572FD" w:rsidP="000850E1">
            <w:pPr>
              <w:tabs>
                <w:tab w:val="decimal" w:pos="1107"/>
              </w:tabs>
              <w:rPr>
                <w:rFonts w:ascii="Times New Roman" w:hAnsi="Times New Roman" w:cs="Times New Roman"/>
              </w:rPr>
            </w:pPr>
            <w:r w:rsidRPr="002572FD">
              <w:rPr>
                <w:rFonts w:ascii="Times New Roman" w:hAnsi="Times New Roman" w:cs="Times New Roman"/>
              </w:rPr>
              <w:t>71</w:t>
            </w:r>
          </w:p>
        </w:tc>
        <w:tc>
          <w:tcPr>
            <w:tcW w:w="2125" w:type="dxa"/>
            <w:tcBorders>
              <w:top w:val="nil"/>
              <w:bottom w:val="nil"/>
            </w:tcBorders>
          </w:tcPr>
          <w:p w14:paraId="05BF1358" w14:textId="3D6FE78B" w:rsidR="002572FD" w:rsidRPr="002572FD" w:rsidRDefault="002572FD" w:rsidP="000850E1">
            <w:pPr>
              <w:tabs>
                <w:tab w:val="decimal" w:pos="1221"/>
              </w:tabs>
              <w:rPr>
                <w:rFonts w:ascii="Times New Roman" w:hAnsi="Times New Roman" w:cs="Times New Roman"/>
              </w:rPr>
            </w:pPr>
            <w:r w:rsidRPr="002572FD">
              <w:rPr>
                <w:rFonts w:ascii="Times New Roman" w:hAnsi="Times New Roman" w:cs="Times New Roman"/>
              </w:rPr>
              <w:t>81</w:t>
            </w:r>
          </w:p>
        </w:tc>
      </w:tr>
      <w:tr w:rsidR="002572FD" w:rsidRPr="00B824AA" w14:paraId="48CCEF41" w14:textId="77777777" w:rsidTr="00703685">
        <w:tc>
          <w:tcPr>
            <w:tcW w:w="2689" w:type="dxa"/>
            <w:tcBorders>
              <w:top w:val="nil"/>
              <w:bottom w:val="nil"/>
            </w:tcBorders>
            <w:vAlign w:val="center"/>
          </w:tcPr>
          <w:p w14:paraId="69B28EC3" w14:textId="79037790" w:rsidR="002572FD" w:rsidRPr="00B824AA" w:rsidRDefault="002572FD" w:rsidP="000850E1">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021BB4F9" w14:textId="0912A39B" w:rsidR="002572FD" w:rsidRPr="002572FD" w:rsidRDefault="002572FD" w:rsidP="000850E1">
            <w:pPr>
              <w:tabs>
                <w:tab w:val="decimal" w:pos="1135"/>
              </w:tabs>
              <w:rPr>
                <w:rFonts w:ascii="Times New Roman" w:hAnsi="Times New Roman" w:cs="Times New Roman"/>
                <w:color w:val="000000"/>
              </w:rPr>
            </w:pPr>
            <w:r w:rsidRPr="002572FD">
              <w:rPr>
                <w:rFonts w:ascii="Times New Roman" w:hAnsi="Times New Roman" w:cs="Times New Roman"/>
              </w:rPr>
              <w:t>74</w:t>
            </w:r>
          </w:p>
        </w:tc>
        <w:tc>
          <w:tcPr>
            <w:tcW w:w="2124" w:type="dxa"/>
            <w:tcBorders>
              <w:top w:val="nil"/>
              <w:bottom w:val="nil"/>
            </w:tcBorders>
          </w:tcPr>
          <w:p w14:paraId="7BFA57AC" w14:textId="2B1B1833" w:rsidR="002572FD" w:rsidRPr="002572FD" w:rsidRDefault="002572FD" w:rsidP="000850E1">
            <w:pPr>
              <w:tabs>
                <w:tab w:val="decimal" w:pos="1107"/>
              </w:tabs>
              <w:rPr>
                <w:rFonts w:ascii="Times New Roman" w:hAnsi="Times New Roman" w:cs="Times New Roman"/>
                <w:color w:val="000000"/>
              </w:rPr>
            </w:pPr>
            <w:r w:rsidRPr="002572FD">
              <w:rPr>
                <w:rFonts w:ascii="Times New Roman" w:hAnsi="Times New Roman" w:cs="Times New Roman"/>
              </w:rPr>
              <w:t>73</w:t>
            </w:r>
          </w:p>
        </w:tc>
        <w:tc>
          <w:tcPr>
            <w:tcW w:w="2125" w:type="dxa"/>
            <w:tcBorders>
              <w:top w:val="nil"/>
              <w:bottom w:val="nil"/>
            </w:tcBorders>
          </w:tcPr>
          <w:p w14:paraId="4E024990" w14:textId="497C1A6B" w:rsidR="002572FD" w:rsidRPr="002572FD" w:rsidRDefault="002572FD" w:rsidP="000850E1">
            <w:pPr>
              <w:tabs>
                <w:tab w:val="decimal" w:pos="1221"/>
              </w:tabs>
              <w:rPr>
                <w:rFonts w:ascii="Times New Roman" w:hAnsi="Times New Roman" w:cs="Times New Roman"/>
                <w:color w:val="000000"/>
              </w:rPr>
            </w:pPr>
            <w:r w:rsidRPr="002572FD">
              <w:rPr>
                <w:rFonts w:ascii="Times New Roman" w:hAnsi="Times New Roman" w:cs="Times New Roman"/>
              </w:rPr>
              <w:t>84</w:t>
            </w:r>
          </w:p>
        </w:tc>
      </w:tr>
      <w:tr w:rsidR="00866620" w:rsidRPr="00B824AA" w14:paraId="5AC76D9E" w14:textId="77777777" w:rsidTr="005B1B67">
        <w:tc>
          <w:tcPr>
            <w:tcW w:w="2689" w:type="dxa"/>
            <w:tcBorders>
              <w:top w:val="nil"/>
              <w:bottom w:val="nil"/>
            </w:tcBorders>
            <w:vAlign w:val="center"/>
          </w:tcPr>
          <w:p w14:paraId="0CFB9EF8" w14:textId="77777777" w:rsidR="00866620" w:rsidRDefault="00866620" w:rsidP="000850E1">
            <w:pPr>
              <w:ind w:left="316"/>
              <w:rPr>
                <w:rFonts w:ascii="Times New Roman" w:hAnsi="Times New Roman" w:cs="Times New Roman"/>
                <w:color w:val="000000"/>
              </w:rPr>
            </w:pPr>
          </w:p>
        </w:tc>
        <w:tc>
          <w:tcPr>
            <w:tcW w:w="2124" w:type="dxa"/>
            <w:tcBorders>
              <w:top w:val="nil"/>
              <w:bottom w:val="nil"/>
            </w:tcBorders>
            <w:vAlign w:val="bottom"/>
          </w:tcPr>
          <w:p w14:paraId="2C0E37CF" w14:textId="77777777" w:rsidR="00866620" w:rsidRPr="00B824AA" w:rsidRDefault="00866620" w:rsidP="000850E1">
            <w:pPr>
              <w:tabs>
                <w:tab w:val="decimal" w:pos="1135"/>
              </w:tabs>
              <w:rPr>
                <w:rFonts w:ascii="Times New Roman" w:hAnsi="Times New Roman" w:cs="Times New Roman"/>
                <w:color w:val="000000"/>
              </w:rPr>
            </w:pPr>
          </w:p>
        </w:tc>
        <w:tc>
          <w:tcPr>
            <w:tcW w:w="2124" w:type="dxa"/>
            <w:tcBorders>
              <w:top w:val="nil"/>
              <w:bottom w:val="nil"/>
            </w:tcBorders>
            <w:vAlign w:val="bottom"/>
          </w:tcPr>
          <w:p w14:paraId="387FBE04" w14:textId="77777777" w:rsidR="00866620" w:rsidRPr="00B824AA" w:rsidRDefault="00866620" w:rsidP="000850E1">
            <w:pPr>
              <w:tabs>
                <w:tab w:val="decimal" w:pos="1107"/>
              </w:tabs>
              <w:rPr>
                <w:rFonts w:ascii="Times New Roman" w:hAnsi="Times New Roman" w:cs="Times New Roman"/>
                <w:color w:val="000000"/>
              </w:rPr>
            </w:pPr>
          </w:p>
        </w:tc>
        <w:tc>
          <w:tcPr>
            <w:tcW w:w="2125" w:type="dxa"/>
            <w:tcBorders>
              <w:top w:val="nil"/>
              <w:bottom w:val="nil"/>
            </w:tcBorders>
            <w:vAlign w:val="bottom"/>
          </w:tcPr>
          <w:p w14:paraId="17A973AD" w14:textId="77777777" w:rsidR="00866620" w:rsidRPr="00B824AA" w:rsidRDefault="00866620" w:rsidP="000850E1">
            <w:pPr>
              <w:tabs>
                <w:tab w:val="decimal" w:pos="1221"/>
              </w:tabs>
              <w:rPr>
                <w:rFonts w:ascii="Times New Roman" w:hAnsi="Times New Roman" w:cs="Times New Roman"/>
                <w:color w:val="000000"/>
              </w:rPr>
            </w:pPr>
          </w:p>
        </w:tc>
      </w:tr>
      <w:tr w:rsidR="00534A2E" w:rsidRPr="00B824AA" w14:paraId="2635EB7A" w14:textId="77777777" w:rsidTr="005B1B67">
        <w:tc>
          <w:tcPr>
            <w:tcW w:w="2689" w:type="dxa"/>
            <w:tcBorders>
              <w:top w:val="nil"/>
              <w:bottom w:val="nil"/>
            </w:tcBorders>
          </w:tcPr>
          <w:p w14:paraId="11ACA5E0" w14:textId="0B4FF415" w:rsidR="00534A2E" w:rsidRPr="00B824AA" w:rsidRDefault="00534A2E" w:rsidP="00CC3BD8">
            <w:pPr>
              <w:ind w:left="316"/>
              <w:rPr>
                <w:rFonts w:ascii="Times New Roman" w:hAnsi="Times New Roman" w:cs="Times New Roman"/>
              </w:rPr>
            </w:pPr>
            <w:r w:rsidRPr="00B824AA">
              <w:rPr>
                <w:rFonts w:ascii="Times New Roman" w:hAnsi="Times New Roman" w:cs="Times New Roman"/>
              </w:rPr>
              <w:t>Zużycie materiałów (DMC)</w:t>
            </w:r>
          </w:p>
        </w:tc>
        <w:tc>
          <w:tcPr>
            <w:tcW w:w="2124" w:type="dxa"/>
            <w:tcBorders>
              <w:top w:val="nil"/>
              <w:bottom w:val="nil"/>
            </w:tcBorders>
          </w:tcPr>
          <w:p w14:paraId="276430E8"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49B50667"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40C37A41" w14:textId="77777777" w:rsidR="00534A2E" w:rsidRPr="00B824AA" w:rsidRDefault="00534A2E" w:rsidP="00CC3BD8">
            <w:pPr>
              <w:tabs>
                <w:tab w:val="decimal" w:pos="1221"/>
              </w:tabs>
              <w:rPr>
                <w:rFonts w:ascii="Times New Roman" w:hAnsi="Times New Roman" w:cs="Times New Roman"/>
              </w:rPr>
            </w:pPr>
          </w:p>
        </w:tc>
      </w:tr>
      <w:tr w:rsidR="001D76FC" w:rsidRPr="00B824AA" w14:paraId="185753DF" w14:textId="77777777" w:rsidTr="00505B09">
        <w:tc>
          <w:tcPr>
            <w:tcW w:w="2689" w:type="dxa"/>
            <w:tcBorders>
              <w:top w:val="nil"/>
              <w:bottom w:val="nil"/>
            </w:tcBorders>
          </w:tcPr>
          <w:p w14:paraId="7D977551" w14:textId="77777777" w:rsidR="001D76FC" w:rsidRPr="00B824AA" w:rsidRDefault="001D76FC" w:rsidP="000850E1">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367CA800" w14:textId="3FE3B833" w:rsidR="001D76FC" w:rsidRPr="001D76FC" w:rsidRDefault="001D76FC" w:rsidP="000850E1">
            <w:pPr>
              <w:tabs>
                <w:tab w:val="decimal" w:pos="1135"/>
              </w:tabs>
              <w:rPr>
                <w:rFonts w:ascii="Times New Roman" w:hAnsi="Times New Roman" w:cs="Times New Roman"/>
              </w:rPr>
            </w:pPr>
            <w:r w:rsidRPr="001D76FC">
              <w:rPr>
                <w:rFonts w:ascii="Times New Roman" w:hAnsi="Times New Roman" w:cs="Times New Roman"/>
              </w:rPr>
              <w:t>84</w:t>
            </w:r>
          </w:p>
        </w:tc>
        <w:tc>
          <w:tcPr>
            <w:tcW w:w="2124" w:type="dxa"/>
            <w:tcBorders>
              <w:top w:val="nil"/>
              <w:bottom w:val="nil"/>
            </w:tcBorders>
          </w:tcPr>
          <w:p w14:paraId="6745E057" w14:textId="1E1E504D" w:rsidR="001D76FC" w:rsidRPr="001D76FC" w:rsidRDefault="001D76FC" w:rsidP="000850E1">
            <w:pPr>
              <w:tabs>
                <w:tab w:val="decimal" w:pos="1107"/>
              </w:tabs>
              <w:rPr>
                <w:rFonts w:ascii="Times New Roman" w:hAnsi="Times New Roman" w:cs="Times New Roman"/>
              </w:rPr>
            </w:pPr>
            <w:r w:rsidRPr="001D76FC">
              <w:rPr>
                <w:rFonts w:ascii="Times New Roman" w:hAnsi="Times New Roman" w:cs="Times New Roman"/>
              </w:rPr>
              <w:t>84</w:t>
            </w:r>
          </w:p>
        </w:tc>
        <w:tc>
          <w:tcPr>
            <w:tcW w:w="2125" w:type="dxa"/>
            <w:tcBorders>
              <w:top w:val="nil"/>
              <w:bottom w:val="nil"/>
            </w:tcBorders>
          </w:tcPr>
          <w:p w14:paraId="7EBC495C" w14:textId="0BFB504D" w:rsidR="001D76FC" w:rsidRPr="001D76FC" w:rsidRDefault="001D76FC" w:rsidP="000850E1">
            <w:pPr>
              <w:tabs>
                <w:tab w:val="decimal" w:pos="1221"/>
              </w:tabs>
              <w:rPr>
                <w:rFonts w:ascii="Times New Roman" w:hAnsi="Times New Roman" w:cs="Times New Roman"/>
              </w:rPr>
            </w:pPr>
            <w:r w:rsidRPr="001D76FC">
              <w:rPr>
                <w:rFonts w:ascii="Times New Roman" w:hAnsi="Times New Roman" w:cs="Times New Roman"/>
              </w:rPr>
              <w:t>86</w:t>
            </w:r>
          </w:p>
        </w:tc>
      </w:tr>
      <w:tr w:rsidR="001D76FC" w:rsidRPr="00B824AA" w14:paraId="674461F3" w14:textId="77777777" w:rsidTr="00505B09">
        <w:tc>
          <w:tcPr>
            <w:tcW w:w="2689" w:type="dxa"/>
            <w:tcBorders>
              <w:top w:val="nil"/>
              <w:bottom w:val="nil"/>
            </w:tcBorders>
          </w:tcPr>
          <w:p w14:paraId="693958D1" w14:textId="77777777" w:rsidR="001D76FC" w:rsidRPr="00B824AA" w:rsidRDefault="001D76FC" w:rsidP="000850E1">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58113CB7" w14:textId="43444189" w:rsidR="001D76FC" w:rsidRPr="001D76FC" w:rsidRDefault="001D76FC" w:rsidP="000850E1">
            <w:pPr>
              <w:tabs>
                <w:tab w:val="decimal" w:pos="1135"/>
              </w:tabs>
              <w:rPr>
                <w:rFonts w:ascii="Times New Roman" w:hAnsi="Times New Roman" w:cs="Times New Roman"/>
              </w:rPr>
            </w:pPr>
            <w:r w:rsidRPr="001D76FC">
              <w:rPr>
                <w:rFonts w:ascii="Times New Roman" w:hAnsi="Times New Roman" w:cs="Times New Roman"/>
              </w:rPr>
              <w:t>75</w:t>
            </w:r>
          </w:p>
        </w:tc>
        <w:tc>
          <w:tcPr>
            <w:tcW w:w="2124" w:type="dxa"/>
            <w:tcBorders>
              <w:top w:val="nil"/>
              <w:bottom w:val="nil"/>
            </w:tcBorders>
          </w:tcPr>
          <w:p w14:paraId="28531CD0" w14:textId="2C92FB03" w:rsidR="001D76FC" w:rsidRPr="001D76FC" w:rsidRDefault="001D76FC" w:rsidP="000850E1">
            <w:pPr>
              <w:tabs>
                <w:tab w:val="decimal" w:pos="1107"/>
              </w:tabs>
              <w:rPr>
                <w:rFonts w:ascii="Times New Roman" w:hAnsi="Times New Roman" w:cs="Times New Roman"/>
              </w:rPr>
            </w:pPr>
            <w:r w:rsidRPr="001D76FC">
              <w:rPr>
                <w:rFonts w:ascii="Times New Roman" w:hAnsi="Times New Roman" w:cs="Times New Roman"/>
              </w:rPr>
              <w:t>70</w:t>
            </w:r>
          </w:p>
        </w:tc>
        <w:tc>
          <w:tcPr>
            <w:tcW w:w="2125" w:type="dxa"/>
            <w:tcBorders>
              <w:top w:val="nil"/>
              <w:bottom w:val="nil"/>
            </w:tcBorders>
          </w:tcPr>
          <w:p w14:paraId="1785135C" w14:textId="1DB47E8E" w:rsidR="001D76FC" w:rsidRPr="001D76FC" w:rsidRDefault="001D76FC" w:rsidP="000850E1">
            <w:pPr>
              <w:tabs>
                <w:tab w:val="decimal" w:pos="1221"/>
              </w:tabs>
              <w:rPr>
                <w:rFonts w:ascii="Times New Roman" w:hAnsi="Times New Roman" w:cs="Times New Roman"/>
              </w:rPr>
            </w:pPr>
            <w:r w:rsidRPr="001D76FC">
              <w:rPr>
                <w:rFonts w:ascii="Times New Roman" w:hAnsi="Times New Roman" w:cs="Times New Roman"/>
              </w:rPr>
              <w:t>99</w:t>
            </w:r>
          </w:p>
        </w:tc>
      </w:tr>
      <w:tr w:rsidR="001D76FC" w:rsidRPr="00B824AA" w14:paraId="22FA8D5E" w14:textId="77777777" w:rsidTr="00505B09">
        <w:tc>
          <w:tcPr>
            <w:tcW w:w="2689" w:type="dxa"/>
            <w:tcBorders>
              <w:top w:val="nil"/>
              <w:bottom w:val="nil"/>
            </w:tcBorders>
          </w:tcPr>
          <w:p w14:paraId="456E8397" w14:textId="77777777" w:rsidR="001D76FC" w:rsidRPr="00B824AA" w:rsidRDefault="001D76FC" w:rsidP="000850E1">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3BBB094E" w14:textId="3067C69C" w:rsidR="001D76FC" w:rsidRPr="001D76FC" w:rsidRDefault="001D76FC" w:rsidP="000850E1">
            <w:pPr>
              <w:tabs>
                <w:tab w:val="decimal" w:pos="1135"/>
              </w:tabs>
              <w:rPr>
                <w:rFonts w:ascii="Times New Roman" w:hAnsi="Times New Roman" w:cs="Times New Roman"/>
              </w:rPr>
            </w:pPr>
            <w:r w:rsidRPr="001D76FC">
              <w:rPr>
                <w:rFonts w:ascii="Times New Roman" w:hAnsi="Times New Roman" w:cs="Times New Roman"/>
              </w:rPr>
              <w:t>69</w:t>
            </w:r>
          </w:p>
        </w:tc>
        <w:tc>
          <w:tcPr>
            <w:tcW w:w="2124" w:type="dxa"/>
            <w:tcBorders>
              <w:top w:val="nil"/>
              <w:bottom w:val="nil"/>
            </w:tcBorders>
          </w:tcPr>
          <w:p w14:paraId="1160B9D3" w14:textId="183B0AEB" w:rsidR="001D76FC" w:rsidRPr="001D76FC" w:rsidRDefault="001D76FC" w:rsidP="000850E1">
            <w:pPr>
              <w:tabs>
                <w:tab w:val="decimal" w:pos="1107"/>
              </w:tabs>
              <w:rPr>
                <w:rFonts w:ascii="Times New Roman" w:hAnsi="Times New Roman" w:cs="Times New Roman"/>
              </w:rPr>
            </w:pPr>
            <w:r w:rsidRPr="001D76FC">
              <w:rPr>
                <w:rFonts w:ascii="Times New Roman" w:hAnsi="Times New Roman" w:cs="Times New Roman"/>
              </w:rPr>
              <w:t>63</w:t>
            </w:r>
          </w:p>
        </w:tc>
        <w:tc>
          <w:tcPr>
            <w:tcW w:w="2125" w:type="dxa"/>
            <w:tcBorders>
              <w:top w:val="nil"/>
              <w:bottom w:val="nil"/>
            </w:tcBorders>
          </w:tcPr>
          <w:p w14:paraId="46C587E1" w14:textId="2C1E8E59" w:rsidR="001D76FC" w:rsidRPr="001D76FC" w:rsidRDefault="001D76FC" w:rsidP="000850E1">
            <w:pPr>
              <w:tabs>
                <w:tab w:val="decimal" w:pos="1221"/>
              </w:tabs>
              <w:rPr>
                <w:rFonts w:ascii="Times New Roman" w:hAnsi="Times New Roman" w:cs="Times New Roman"/>
              </w:rPr>
            </w:pPr>
            <w:r w:rsidRPr="001D76FC">
              <w:rPr>
                <w:rFonts w:ascii="Times New Roman" w:hAnsi="Times New Roman" w:cs="Times New Roman"/>
              </w:rPr>
              <w:t>101</w:t>
            </w:r>
          </w:p>
        </w:tc>
      </w:tr>
      <w:tr w:rsidR="001D76FC" w:rsidRPr="00B824AA" w14:paraId="0F3E8C4C" w14:textId="77777777" w:rsidTr="00505B09">
        <w:tc>
          <w:tcPr>
            <w:tcW w:w="2689" w:type="dxa"/>
            <w:tcBorders>
              <w:top w:val="nil"/>
              <w:bottom w:val="nil"/>
            </w:tcBorders>
            <w:vAlign w:val="center"/>
          </w:tcPr>
          <w:p w14:paraId="3FA29E98" w14:textId="77777777" w:rsidR="001D76FC" w:rsidRPr="00B824AA" w:rsidRDefault="001D76FC" w:rsidP="000850E1">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5CAAF167" w14:textId="2B47AFEB" w:rsidR="001D76FC" w:rsidRPr="001D76FC" w:rsidRDefault="001D76FC" w:rsidP="000850E1">
            <w:pPr>
              <w:tabs>
                <w:tab w:val="decimal" w:pos="1135"/>
              </w:tabs>
              <w:rPr>
                <w:rFonts w:ascii="Times New Roman" w:hAnsi="Times New Roman" w:cs="Times New Roman"/>
              </w:rPr>
            </w:pPr>
            <w:r w:rsidRPr="001D76FC">
              <w:rPr>
                <w:rFonts w:ascii="Times New Roman" w:hAnsi="Times New Roman" w:cs="Times New Roman"/>
              </w:rPr>
              <w:t>68</w:t>
            </w:r>
          </w:p>
        </w:tc>
        <w:tc>
          <w:tcPr>
            <w:tcW w:w="2124" w:type="dxa"/>
            <w:tcBorders>
              <w:top w:val="nil"/>
              <w:bottom w:val="nil"/>
            </w:tcBorders>
          </w:tcPr>
          <w:p w14:paraId="24FBE180" w14:textId="78349E10" w:rsidR="001D76FC" w:rsidRPr="001D76FC" w:rsidRDefault="001D76FC" w:rsidP="000850E1">
            <w:pPr>
              <w:tabs>
                <w:tab w:val="decimal" w:pos="1107"/>
              </w:tabs>
              <w:rPr>
                <w:rFonts w:ascii="Times New Roman" w:hAnsi="Times New Roman" w:cs="Times New Roman"/>
              </w:rPr>
            </w:pPr>
            <w:r w:rsidRPr="001D76FC">
              <w:rPr>
                <w:rFonts w:ascii="Times New Roman" w:hAnsi="Times New Roman" w:cs="Times New Roman"/>
              </w:rPr>
              <w:t>66</w:t>
            </w:r>
          </w:p>
        </w:tc>
        <w:tc>
          <w:tcPr>
            <w:tcW w:w="2125" w:type="dxa"/>
            <w:tcBorders>
              <w:top w:val="nil"/>
              <w:bottom w:val="nil"/>
            </w:tcBorders>
          </w:tcPr>
          <w:p w14:paraId="6E06A03F" w14:textId="15A0C7E6" w:rsidR="001D76FC" w:rsidRPr="001D76FC" w:rsidRDefault="001D76FC" w:rsidP="000850E1">
            <w:pPr>
              <w:tabs>
                <w:tab w:val="decimal" w:pos="1221"/>
              </w:tabs>
              <w:rPr>
                <w:rFonts w:ascii="Times New Roman" w:hAnsi="Times New Roman" w:cs="Times New Roman"/>
              </w:rPr>
            </w:pPr>
            <w:r w:rsidRPr="001D76FC">
              <w:rPr>
                <w:rFonts w:ascii="Times New Roman" w:hAnsi="Times New Roman" w:cs="Times New Roman"/>
              </w:rPr>
              <w:t>97</w:t>
            </w:r>
          </w:p>
        </w:tc>
      </w:tr>
      <w:tr w:rsidR="001D76FC" w:rsidRPr="00B824AA" w14:paraId="584AA36F" w14:textId="77777777" w:rsidTr="00505B09">
        <w:tc>
          <w:tcPr>
            <w:tcW w:w="2689" w:type="dxa"/>
            <w:tcBorders>
              <w:top w:val="nil"/>
              <w:bottom w:val="nil"/>
            </w:tcBorders>
            <w:vAlign w:val="center"/>
          </w:tcPr>
          <w:p w14:paraId="37BEBF3A" w14:textId="426CCE4A" w:rsidR="001D76FC" w:rsidRPr="00B824AA" w:rsidRDefault="001D76FC" w:rsidP="000850E1">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2BBADFF9" w14:textId="54216E3D" w:rsidR="001D76FC" w:rsidRPr="001D76FC" w:rsidRDefault="001D76FC" w:rsidP="000850E1">
            <w:pPr>
              <w:tabs>
                <w:tab w:val="decimal" w:pos="1135"/>
              </w:tabs>
              <w:rPr>
                <w:rFonts w:ascii="Times New Roman" w:hAnsi="Times New Roman" w:cs="Times New Roman"/>
                <w:color w:val="000000"/>
              </w:rPr>
            </w:pPr>
            <w:r w:rsidRPr="001D76FC">
              <w:rPr>
                <w:rFonts w:ascii="Times New Roman" w:hAnsi="Times New Roman" w:cs="Times New Roman"/>
              </w:rPr>
              <w:t>68</w:t>
            </w:r>
          </w:p>
        </w:tc>
        <w:tc>
          <w:tcPr>
            <w:tcW w:w="2124" w:type="dxa"/>
            <w:tcBorders>
              <w:top w:val="nil"/>
              <w:bottom w:val="nil"/>
            </w:tcBorders>
          </w:tcPr>
          <w:p w14:paraId="3B2F2D5F" w14:textId="218EF008" w:rsidR="001D76FC" w:rsidRPr="001D76FC" w:rsidRDefault="001D76FC" w:rsidP="000850E1">
            <w:pPr>
              <w:tabs>
                <w:tab w:val="decimal" w:pos="1107"/>
              </w:tabs>
              <w:rPr>
                <w:rFonts w:ascii="Times New Roman" w:hAnsi="Times New Roman" w:cs="Times New Roman"/>
                <w:color w:val="000000"/>
              </w:rPr>
            </w:pPr>
            <w:r w:rsidRPr="001D76FC">
              <w:rPr>
                <w:rFonts w:ascii="Times New Roman" w:hAnsi="Times New Roman" w:cs="Times New Roman"/>
              </w:rPr>
              <w:t>66</w:t>
            </w:r>
          </w:p>
        </w:tc>
        <w:tc>
          <w:tcPr>
            <w:tcW w:w="2125" w:type="dxa"/>
            <w:tcBorders>
              <w:top w:val="nil"/>
              <w:bottom w:val="nil"/>
            </w:tcBorders>
          </w:tcPr>
          <w:p w14:paraId="1BEC6E28" w14:textId="039B1C88" w:rsidR="001D76FC" w:rsidRPr="001D76FC" w:rsidRDefault="001D76FC" w:rsidP="000850E1">
            <w:pPr>
              <w:tabs>
                <w:tab w:val="decimal" w:pos="1221"/>
              </w:tabs>
              <w:rPr>
                <w:rFonts w:ascii="Times New Roman" w:hAnsi="Times New Roman" w:cs="Times New Roman"/>
                <w:color w:val="000000"/>
              </w:rPr>
            </w:pPr>
            <w:r w:rsidRPr="001D76FC">
              <w:rPr>
                <w:rFonts w:ascii="Times New Roman" w:hAnsi="Times New Roman" w:cs="Times New Roman"/>
              </w:rPr>
              <w:t>95</w:t>
            </w:r>
          </w:p>
        </w:tc>
      </w:tr>
      <w:tr w:rsidR="00534A2E" w:rsidRPr="00B824AA" w14:paraId="6395C829" w14:textId="77777777" w:rsidTr="00866620">
        <w:trPr>
          <w:trHeight w:val="255"/>
        </w:trPr>
        <w:tc>
          <w:tcPr>
            <w:tcW w:w="2689" w:type="dxa"/>
            <w:tcBorders>
              <w:top w:val="nil"/>
              <w:bottom w:val="nil"/>
            </w:tcBorders>
          </w:tcPr>
          <w:p w14:paraId="010E25B2" w14:textId="4EB2D97A" w:rsidR="00534A2E" w:rsidRPr="00B824AA" w:rsidRDefault="00534A2E" w:rsidP="00CC3BD8">
            <w:pPr>
              <w:ind w:left="316"/>
              <w:rPr>
                <w:rFonts w:ascii="Times New Roman" w:hAnsi="Times New Roman" w:cs="Times New Roman"/>
              </w:rPr>
            </w:pPr>
          </w:p>
        </w:tc>
        <w:tc>
          <w:tcPr>
            <w:tcW w:w="2124" w:type="dxa"/>
            <w:tcBorders>
              <w:top w:val="nil"/>
              <w:bottom w:val="nil"/>
            </w:tcBorders>
          </w:tcPr>
          <w:p w14:paraId="16C8C946"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2FDE5155"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7EE2F31E" w14:textId="77777777" w:rsidR="00534A2E" w:rsidRPr="00B824AA" w:rsidRDefault="00534A2E" w:rsidP="00CC3BD8">
            <w:pPr>
              <w:tabs>
                <w:tab w:val="decimal" w:pos="1221"/>
              </w:tabs>
              <w:rPr>
                <w:rFonts w:ascii="Times New Roman" w:hAnsi="Times New Roman" w:cs="Times New Roman"/>
              </w:rPr>
            </w:pPr>
          </w:p>
        </w:tc>
      </w:tr>
      <w:tr w:rsidR="00866620" w:rsidRPr="00B824AA" w14:paraId="6EE262A2" w14:textId="77777777" w:rsidTr="00866620">
        <w:trPr>
          <w:trHeight w:val="255"/>
        </w:trPr>
        <w:tc>
          <w:tcPr>
            <w:tcW w:w="2689" w:type="dxa"/>
            <w:tcBorders>
              <w:top w:val="nil"/>
              <w:bottom w:val="nil"/>
            </w:tcBorders>
          </w:tcPr>
          <w:p w14:paraId="037AEFAB" w14:textId="3E4DEBEC" w:rsidR="00866620" w:rsidRPr="00B824AA" w:rsidRDefault="00866620" w:rsidP="00CC3BD8">
            <w:pPr>
              <w:ind w:left="316"/>
              <w:rPr>
                <w:rFonts w:ascii="Times New Roman" w:hAnsi="Times New Roman" w:cs="Times New Roman"/>
              </w:rPr>
            </w:pPr>
            <w:r w:rsidRPr="00B824AA">
              <w:rPr>
                <w:rFonts w:ascii="Times New Roman" w:hAnsi="Times New Roman" w:cs="Times New Roman"/>
              </w:rPr>
              <w:t>Odpady przemysłowe</w:t>
            </w:r>
          </w:p>
        </w:tc>
        <w:tc>
          <w:tcPr>
            <w:tcW w:w="2124" w:type="dxa"/>
            <w:tcBorders>
              <w:top w:val="nil"/>
              <w:bottom w:val="nil"/>
            </w:tcBorders>
          </w:tcPr>
          <w:p w14:paraId="1E4925DA" w14:textId="77777777" w:rsidR="00866620" w:rsidRPr="00B824AA" w:rsidRDefault="00866620" w:rsidP="00CC3BD8">
            <w:pPr>
              <w:tabs>
                <w:tab w:val="decimal" w:pos="1135"/>
              </w:tabs>
              <w:rPr>
                <w:rFonts w:ascii="Times New Roman" w:hAnsi="Times New Roman" w:cs="Times New Roman"/>
              </w:rPr>
            </w:pPr>
          </w:p>
        </w:tc>
        <w:tc>
          <w:tcPr>
            <w:tcW w:w="2124" w:type="dxa"/>
            <w:tcBorders>
              <w:top w:val="nil"/>
              <w:bottom w:val="nil"/>
            </w:tcBorders>
          </w:tcPr>
          <w:p w14:paraId="773DCE8B" w14:textId="77777777" w:rsidR="00866620" w:rsidRPr="00B824AA" w:rsidRDefault="00866620" w:rsidP="00CC3BD8">
            <w:pPr>
              <w:tabs>
                <w:tab w:val="decimal" w:pos="1107"/>
              </w:tabs>
              <w:rPr>
                <w:rFonts w:ascii="Times New Roman" w:hAnsi="Times New Roman" w:cs="Times New Roman"/>
              </w:rPr>
            </w:pPr>
          </w:p>
        </w:tc>
        <w:tc>
          <w:tcPr>
            <w:tcW w:w="2125" w:type="dxa"/>
            <w:tcBorders>
              <w:top w:val="nil"/>
              <w:bottom w:val="nil"/>
            </w:tcBorders>
          </w:tcPr>
          <w:p w14:paraId="1929AD19" w14:textId="77777777" w:rsidR="00866620" w:rsidRPr="00B824AA" w:rsidRDefault="00866620" w:rsidP="00CC3BD8">
            <w:pPr>
              <w:tabs>
                <w:tab w:val="decimal" w:pos="1221"/>
              </w:tabs>
              <w:rPr>
                <w:rFonts w:ascii="Times New Roman" w:hAnsi="Times New Roman" w:cs="Times New Roman"/>
              </w:rPr>
            </w:pPr>
          </w:p>
        </w:tc>
      </w:tr>
      <w:tr w:rsidR="00E212E8" w:rsidRPr="00B824AA" w14:paraId="1D18E60F" w14:textId="77777777" w:rsidTr="00E66A1C">
        <w:tc>
          <w:tcPr>
            <w:tcW w:w="2689" w:type="dxa"/>
            <w:tcBorders>
              <w:top w:val="nil"/>
              <w:bottom w:val="nil"/>
            </w:tcBorders>
          </w:tcPr>
          <w:p w14:paraId="042CB1AD" w14:textId="77777777" w:rsidR="00E212E8" w:rsidRPr="00B824AA" w:rsidRDefault="00E212E8" w:rsidP="000850E1">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41A8F916" w14:textId="09F05A0F" w:rsidR="00E212E8" w:rsidRPr="00E212E8" w:rsidRDefault="00E212E8" w:rsidP="000850E1">
            <w:pPr>
              <w:tabs>
                <w:tab w:val="decimal" w:pos="1135"/>
              </w:tabs>
              <w:rPr>
                <w:rFonts w:ascii="Times New Roman" w:hAnsi="Times New Roman" w:cs="Times New Roman"/>
              </w:rPr>
            </w:pPr>
            <w:r w:rsidRPr="00E212E8">
              <w:rPr>
                <w:rFonts w:ascii="Times New Roman" w:hAnsi="Times New Roman" w:cs="Times New Roman"/>
              </w:rPr>
              <w:t>33</w:t>
            </w:r>
          </w:p>
        </w:tc>
        <w:tc>
          <w:tcPr>
            <w:tcW w:w="2124" w:type="dxa"/>
            <w:tcBorders>
              <w:top w:val="nil"/>
              <w:bottom w:val="nil"/>
            </w:tcBorders>
          </w:tcPr>
          <w:p w14:paraId="0A68A686" w14:textId="64BBB1F6" w:rsidR="00E212E8" w:rsidRPr="00E212E8" w:rsidRDefault="00E212E8" w:rsidP="000850E1">
            <w:pPr>
              <w:tabs>
                <w:tab w:val="decimal" w:pos="1107"/>
              </w:tabs>
              <w:rPr>
                <w:rFonts w:ascii="Times New Roman" w:hAnsi="Times New Roman" w:cs="Times New Roman"/>
              </w:rPr>
            </w:pPr>
            <w:r w:rsidRPr="00E212E8">
              <w:rPr>
                <w:rFonts w:ascii="Times New Roman" w:hAnsi="Times New Roman" w:cs="Times New Roman"/>
              </w:rPr>
              <w:t>31</w:t>
            </w:r>
          </w:p>
        </w:tc>
        <w:tc>
          <w:tcPr>
            <w:tcW w:w="2125" w:type="dxa"/>
            <w:tcBorders>
              <w:top w:val="nil"/>
              <w:bottom w:val="nil"/>
            </w:tcBorders>
          </w:tcPr>
          <w:p w14:paraId="6BC91AE0" w14:textId="0FA71345" w:rsidR="00E212E8" w:rsidRPr="00E212E8" w:rsidRDefault="00E212E8" w:rsidP="000850E1">
            <w:pPr>
              <w:tabs>
                <w:tab w:val="decimal" w:pos="1221"/>
              </w:tabs>
              <w:rPr>
                <w:rFonts w:ascii="Times New Roman" w:hAnsi="Times New Roman" w:cs="Times New Roman"/>
              </w:rPr>
            </w:pPr>
            <w:r w:rsidRPr="00E212E8">
              <w:rPr>
                <w:rFonts w:ascii="Times New Roman" w:hAnsi="Times New Roman" w:cs="Times New Roman"/>
              </w:rPr>
              <w:t>66</w:t>
            </w:r>
          </w:p>
        </w:tc>
      </w:tr>
      <w:tr w:rsidR="00E212E8" w:rsidRPr="00B824AA" w14:paraId="47FDB31F" w14:textId="77777777" w:rsidTr="00E66A1C">
        <w:tc>
          <w:tcPr>
            <w:tcW w:w="2689" w:type="dxa"/>
            <w:tcBorders>
              <w:top w:val="nil"/>
              <w:bottom w:val="nil"/>
            </w:tcBorders>
          </w:tcPr>
          <w:p w14:paraId="5F3E8977" w14:textId="77777777" w:rsidR="00E212E8" w:rsidRPr="00B824AA" w:rsidRDefault="00E212E8" w:rsidP="000850E1">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7D2C8706" w14:textId="179AFCEF" w:rsidR="00E212E8" w:rsidRPr="00E212E8" w:rsidRDefault="00E212E8" w:rsidP="000850E1">
            <w:pPr>
              <w:tabs>
                <w:tab w:val="decimal" w:pos="1135"/>
              </w:tabs>
              <w:rPr>
                <w:rFonts w:ascii="Times New Roman" w:hAnsi="Times New Roman" w:cs="Times New Roman"/>
              </w:rPr>
            </w:pPr>
            <w:r w:rsidRPr="00E212E8">
              <w:rPr>
                <w:rFonts w:ascii="Times New Roman" w:hAnsi="Times New Roman" w:cs="Times New Roman"/>
              </w:rPr>
              <w:t>32</w:t>
            </w:r>
          </w:p>
        </w:tc>
        <w:tc>
          <w:tcPr>
            <w:tcW w:w="2124" w:type="dxa"/>
            <w:tcBorders>
              <w:top w:val="nil"/>
              <w:bottom w:val="nil"/>
            </w:tcBorders>
          </w:tcPr>
          <w:p w14:paraId="3044E77E" w14:textId="2FE61F83" w:rsidR="00E212E8" w:rsidRPr="00E212E8" w:rsidRDefault="00E212E8" w:rsidP="000850E1">
            <w:pPr>
              <w:tabs>
                <w:tab w:val="decimal" w:pos="1107"/>
              </w:tabs>
              <w:rPr>
                <w:rFonts w:ascii="Times New Roman" w:hAnsi="Times New Roman" w:cs="Times New Roman"/>
              </w:rPr>
            </w:pPr>
            <w:r w:rsidRPr="00E212E8">
              <w:rPr>
                <w:rFonts w:ascii="Times New Roman" w:hAnsi="Times New Roman" w:cs="Times New Roman"/>
              </w:rPr>
              <w:t>30</w:t>
            </w:r>
          </w:p>
        </w:tc>
        <w:tc>
          <w:tcPr>
            <w:tcW w:w="2125" w:type="dxa"/>
            <w:tcBorders>
              <w:top w:val="nil"/>
              <w:bottom w:val="nil"/>
            </w:tcBorders>
          </w:tcPr>
          <w:p w14:paraId="5E719F6B" w14:textId="2A53B165" w:rsidR="00E212E8" w:rsidRPr="00E212E8" w:rsidRDefault="00E212E8" w:rsidP="000850E1">
            <w:pPr>
              <w:tabs>
                <w:tab w:val="decimal" w:pos="1221"/>
              </w:tabs>
              <w:rPr>
                <w:rFonts w:ascii="Times New Roman" w:hAnsi="Times New Roman" w:cs="Times New Roman"/>
              </w:rPr>
            </w:pPr>
            <w:r w:rsidRPr="00E212E8">
              <w:rPr>
                <w:rFonts w:ascii="Times New Roman" w:hAnsi="Times New Roman" w:cs="Times New Roman"/>
              </w:rPr>
              <w:t>63</w:t>
            </w:r>
          </w:p>
        </w:tc>
      </w:tr>
      <w:tr w:rsidR="00E212E8" w:rsidRPr="00B824AA" w14:paraId="4017AE9F" w14:textId="77777777" w:rsidTr="00E66A1C">
        <w:tc>
          <w:tcPr>
            <w:tcW w:w="2689" w:type="dxa"/>
            <w:tcBorders>
              <w:top w:val="nil"/>
              <w:bottom w:val="nil"/>
            </w:tcBorders>
          </w:tcPr>
          <w:p w14:paraId="6ACD91A3" w14:textId="77777777" w:rsidR="00E212E8" w:rsidRPr="00B824AA" w:rsidRDefault="00E212E8" w:rsidP="000850E1">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6B591133" w14:textId="67C92A22" w:rsidR="00E212E8" w:rsidRPr="00E212E8" w:rsidRDefault="00E212E8" w:rsidP="000850E1">
            <w:pPr>
              <w:tabs>
                <w:tab w:val="decimal" w:pos="1135"/>
              </w:tabs>
              <w:rPr>
                <w:rFonts w:ascii="Times New Roman" w:hAnsi="Times New Roman" w:cs="Times New Roman"/>
              </w:rPr>
            </w:pPr>
            <w:r w:rsidRPr="00E212E8">
              <w:rPr>
                <w:rFonts w:ascii="Times New Roman" w:hAnsi="Times New Roman" w:cs="Times New Roman"/>
              </w:rPr>
              <w:t>34</w:t>
            </w:r>
          </w:p>
        </w:tc>
        <w:tc>
          <w:tcPr>
            <w:tcW w:w="2124" w:type="dxa"/>
            <w:tcBorders>
              <w:top w:val="nil"/>
              <w:bottom w:val="nil"/>
            </w:tcBorders>
          </w:tcPr>
          <w:p w14:paraId="52F5BC73" w14:textId="2B624E44" w:rsidR="00E212E8" w:rsidRPr="00E212E8" w:rsidRDefault="00E212E8" w:rsidP="000850E1">
            <w:pPr>
              <w:tabs>
                <w:tab w:val="decimal" w:pos="1107"/>
              </w:tabs>
              <w:rPr>
                <w:rFonts w:ascii="Times New Roman" w:hAnsi="Times New Roman" w:cs="Times New Roman"/>
              </w:rPr>
            </w:pPr>
            <w:r w:rsidRPr="00E212E8">
              <w:rPr>
                <w:rFonts w:ascii="Times New Roman" w:hAnsi="Times New Roman" w:cs="Times New Roman"/>
              </w:rPr>
              <w:t>32</w:t>
            </w:r>
          </w:p>
        </w:tc>
        <w:tc>
          <w:tcPr>
            <w:tcW w:w="2125" w:type="dxa"/>
            <w:tcBorders>
              <w:top w:val="nil"/>
              <w:bottom w:val="nil"/>
            </w:tcBorders>
          </w:tcPr>
          <w:p w14:paraId="384B6969" w14:textId="75616077" w:rsidR="00E212E8" w:rsidRPr="00E212E8" w:rsidRDefault="00E212E8" w:rsidP="000850E1">
            <w:pPr>
              <w:tabs>
                <w:tab w:val="decimal" w:pos="1221"/>
              </w:tabs>
              <w:rPr>
                <w:rFonts w:ascii="Times New Roman" w:hAnsi="Times New Roman" w:cs="Times New Roman"/>
              </w:rPr>
            </w:pPr>
            <w:r w:rsidRPr="00E212E8">
              <w:rPr>
                <w:rFonts w:ascii="Times New Roman" w:hAnsi="Times New Roman" w:cs="Times New Roman"/>
              </w:rPr>
              <w:t>68</w:t>
            </w:r>
          </w:p>
        </w:tc>
      </w:tr>
      <w:tr w:rsidR="00E212E8" w:rsidRPr="00B824AA" w14:paraId="67C640FA" w14:textId="77777777" w:rsidTr="00E66A1C">
        <w:tc>
          <w:tcPr>
            <w:tcW w:w="2689" w:type="dxa"/>
            <w:tcBorders>
              <w:top w:val="nil"/>
              <w:bottom w:val="nil"/>
            </w:tcBorders>
            <w:vAlign w:val="center"/>
          </w:tcPr>
          <w:p w14:paraId="48E7661D" w14:textId="77777777" w:rsidR="00E212E8" w:rsidRPr="00B824AA" w:rsidRDefault="00E212E8" w:rsidP="000850E1">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70453BCD" w14:textId="33BEA64C" w:rsidR="00E212E8" w:rsidRPr="00E212E8" w:rsidRDefault="00E212E8" w:rsidP="000850E1">
            <w:pPr>
              <w:tabs>
                <w:tab w:val="decimal" w:pos="1135"/>
              </w:tabs>
              <w:rPr>
                <w:rFonts w:ascii="Times New Roman" w:hAnsi="Times New Roman" w:cs="Times New Roman"/>
              </w:rPr>
            </w:pPr>
            <w:r w:rsidRPr="00E212E8">
              <w:rPr>
                <w:rFonts w:ascii="Times New Roman" w:hAnsi="Times New Roman" w:cs="Times New Roman"/>
              </w:rPr>
              <w:t>36</w:t>
            </w:r>
          </w:p>
        </w:tc>
        <w:tc>
          <w:tcPr>
            <w:tcW w:w="2124" w:type="dxa"/>
            <w:tcBorders>
              <w:top w:val="nil"/>
              <w:bottom w:val="nil"/>
            </w:tcBorders>
          </w:tcPr>
          <w:p w14:paraId="2B141C70" w14:textId="33FE8F32" w:rsidR="00E212E8" w:rsidRPr="00E212E8" w:rsidRDefault="00E212E8" w:rsidP="000850E1">
            <w:pPr>
              <w:tabs>
                <w:tab w:val="decimal" w:pos="1107"/>
              </w:tabs>
              <w:rPr>
                <w:rFonts w:ascii="Times New Roman" w:hAnsi="Times New Roman" w:cs="Times New Roman"/>
              </w:rPr>
            </w:pPr>
            <w:r w:rsidRPr="00E212E8">
              <w:rPr>
                <w:rFonts w:ascii="Times New Roman" w:hAnsi="Times New Roman" w:cs="Times New Roman"/>
              </w:rPr>
              <w:t>34</w:t>
            </w:r>
          </w:p>
        </w:tc>
        <w:tc>
          <w:tcPr>
            <w:tcW w:w="2125" w:type="dxa"/>
            <w:tcBorders>
              <w:top w:val="nil"/>
              <w:bottom w:val="nil"/>
            </w:tcBorders>
          </w:tcPr>
          <w:p w14:paraId="3D93BCFE" w14:textId="47C845FC" w:rsidR="00E212E8" w:rsidRPr="00E212E8" w:rsidRDefault="00E212E8" w:rsidP="000850E1">
            <w:pPr>
              <w:tabs>
                <w:tab w:val="decimal" w:pos="1221"/>
              </w:tabs>
              <w:rPr>
                <w:rFonts w:ascii="Times New Roman" w:hAnsi="Times New Roman" w:cs="Times New Roman"/>
              </w:rPr>
            </w:pPr>
            <w:r w:rsidRPr="00E212E8">
              <w:rPr>
                <w:rFonts w:ascii="Times New Roman" w:hAnsi="Times New Roman" w:cs="Times New Roman"/>
              </w:rPr>
              <w:t>68</w:t>
            </w:r>
          </w:p>
        </w:tc>
      </w:tr>
      <w:tr w:rsidR="00E212E8" w:rsidRPr="00B824AA" w14:paraId="4A692078" w14:textId="77777777" w:rsidTr="00E66A1C">
        <w:tc>
          <w:tcPr>
            <w:tcW w:w="2689" w:type="dxa"/>
            <w:tcBorders>
              <w:top w:val="nil"/>
              <w:bottom w:val="nil"/>
            </w:tcBorders>
            <w:vAlign w:val="center"/>
          </w:tcPr>
          <w:p w14:paraId="00B74706" w14:textId="3E0F6F70" w:rsidR="00E212E8" w:rsidRPr="00B824AA" w:rsidRDefault="00E212E8" w:rsidP="000850E1">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122C5F44" w14:textId="69319FB3" w:rsidR="00E212E8" w:rsidRPr="00E212E8" w:rsidRDefault="00E212E8" w:rsidP="000850E1">
            <w:pPr>
              <w:tabs>
                <w:tab w:val="decimal" w:pos="1135"/>
              </w:tabs>
              <w:rPr>
                <w:rFonts w:ascii="Times New Roman" w:hAnsi="Times New Roman" w:cs="Times New Roman"/>
                <w:color w:val="000000"/>
              </w:rPr>
            </w:pPr>
            <w:r w:rsidRPr="00E212E8">
              <w:rPr>
                <w:rFonts w:ascii="Times New Roman" w:hAnsi="Times New Roman" w:cs="Times New Roman"/>
              </w:rPr>
              <w:t>34</w:t>
            </w:r>
          </w:p>
        </w:tc>
        <w:tc>
          <w:tcPr>
            <w:tcW w:w="2124" w:type="dxa"/>
            <w:tcBorders>
              <w:top w:val="nil"/>
              <w:bottom w:val="nil"/>
            </w:tcBorders>
          </w:tcPr>
          <w:p w14:paraId="4B4F5C04" w14:textId="2FC876FC" w:rsidR="00E212E8" w:rsidRPr="00E212E8" w:rsidRDefault="00E212E8" w:rsidP="000850E1">
            <w:pPr>
              <w:tabs>
                <w:tab w:val="decimal" w:pos="1107"/>
              </w:tabs>
              <w:rPr>
                <w:rFonts w:ascii="Times New Roman" w:hAnsi="Times New Roman" w:cs="Times New Roman"/>
                <w:color w:val="000000"/>
              </w:rPr>
            </w:pPr>
            <w:r w:rsidRPr="00E212E8">
              <w:rPr>
                <w:rFonts w:ascii="Times New Roman" w:hAnsi="Times New Roman" w:cs="Times New Roman"/>
              </w:rPr>
              <w:t>32</w:t>
            </w:r>
          </w:p>
        </w:tc>
        <w:tc>
          <w:tcPr>
            <w:tcW w:w="2125" w:type="dxa"/>
            <w:tcBorders>
              <w:top w:val="nil"/>
              <w:bottom w:val="nil"/>
            </w:tcBorders>
          </w:tcPr>
          <w:p w14:paraId="3E89E027" w14:textId="38897D09" w:rsidR="00E212E8" w:rsidRPr="00E212E8" w:rsidRDefault="00E212E8" w:rsidP="000850E1">
            <w:pPr>
              <w:tabs>
                <w:tab w:val="decimal" w:pos="1221"/>
              </w:tabs>
              <w:rPr>
                <w:rFonts w:ascii="Times New Roman" w:hAnsi="Times New Roman" w:cs="Times New Roman"/>
                <w:color w:val="000000"/>
              </w:rPr>
            </w:pPr>
            <w:r w:rsidRPr="00E212E8">
              <w:rPr>
                <w:rFonts w:ascii="Times New Roman" w:hAnsi="Times New Roman" w:cs="Times New Roman"/>
              </w:rPr>
              <w:t>67</w:t>
            </w:r>
          </w:p>
        </w:tc>
      </w:tr>
      <w:tr w:rsidR="00866620" w:rsidRPr="00B824AA" w14:paraId="00A98C63" w14:textId="77777777" w:rsidTr="005B1B67">
        <w:tc>
          <w:tcPr>
            <w:tcW w:w="2689" w:type="dxa"/>
            <w:tcBorders>
              <w:top w:val="nil"/>
              <w:bottom w:val="nil"/>
            </w:tcBorders>
            <w:vAlign w:val="center"/>
          </w:tcPr>
          <w:p w14:paraId="47FEADFF" w14:textId="77777777" w:rsidR="00866620" w:rsidRDefault="00866620" w:rsidP="000850E1">
            <w:pPr>
              <w:ind w:left="316"/>
              <w:rPr>
                <w:rFonts w:ascii="Times New Roman" w:hAnsi="Times New Roman" w:cs="Times New Roman"/>
                <w:color w:val="000000"/>
              </w:rPr>
            </w:pPr>
          </w:p>
        </w:tc>
        <w:tc>
          <w:tcPr>
            <w:tcW w:w="2124" w:type="dxa"/>
            <w:tcBorders>
              <w:top w:val="nil"/>
              <w:bottom w:val="nil"/>
            </w:tcBorders>
            <w:vAlign w:val="bottom"/>
          </w:tcPr>
          <w:p w14:paraId="1065E416" w14:textId="77777777" w:rsidR="00866620" w:rsidRPr="00B824AA" w:rsidRDefault="00866620" w:rsidP="000850E1">
            <w:pPr>
              <w:tabs>
                <w:tab w:val="decimal" w:pos="1135"/>
              </w:tabs>
              <w:rPr>
                <w:rFonts w:ascii="Times New Roman" w:hAnsi="Times New Roman" w:cs="Times New Roman"/>
                <w:color w:val="000000"/>
              </w:rPr>
            </w:pPr>
          </w:p>
        </w:tc>
        <w:tc>
          <w:tcPr>
            <w:tcW w:w="2124" w:type="dxa"/>
            <w:tcBorders>
              <w:top w:val="nil"/>
              <w:bottom w:val="nil"/>
            </w:tcBorders>
            <w:vAlign w:val="bottom"/>
          </w:tcPr>
          <w:p w14:paraId="2FEBC84E" w14:textId="77777777" w:rsidR="00866620" w:rsidRPr="00B824AA" w:rsidRDefault="00866620" w:rsidP="000850E1">
            <w:pPr>
              <w:tabs>
                <w:tab w:val="decimal" w:pos="1107"/>
              </w:tabs>
              <w:rPr>
                <w:rFonts w:ascii="Times New Roman" w:hAnsi="Times New Roman" w:cs="Times New Roman"/>
                <w:color w:val="000000"/>
              </w:rPr>
            </w:pPr>
          </w:p>
        </w:tc>
        <w:tc>
          <w:tcPr>
            <w:tcW w:w="2125" w:type="dxa"/>
            <w:tcBorders>
              <w:top w:val="nil"/>
              <w:bottom w:val="nil"/>
            </w:tcBorders>
            <w:vAlign w:val="bottom"/>
          </w:tcPr>
          <w:p w14:paraId="0370278A" w14:textId="77777777" w:rsidR="00866620" w:rsidRPr="00B824AA" w:rsidRDefault="00866620" w:rsidP="000850E1">
            <w:pPr>
              <w:tabs>
                <w:tab w:val="decimal" w:pos="1221"/>
              </w:tabs>
              <w:rPr>
                <w:rFonts w:ascii="Times New Roman" w:hAnsi="Times New Roman" w:cs="Times New Roman"/>
                <w:color w:val="000000"/>
              </w:rPr>
            </w:pPr>
          </w:p>
        </w:tc>
      </w:tr>
      <w:tr w:rsidR="00534A2E" w:rsidRPr="00B824AA" w14:paraId="0A0400E4" w14:textId="77777777" w:rsidTr="005B1B67">
        <w:tc>
          <w:tcPr>
            <w:tcW w:w="2689" w:type="dxa"/>
            <w:tcBorders>
              <w:top w:val="nil"/>
              <w:bottom w:val="nil"/>
            </w:tcBorders>
          </w:tcPr>
          <w:p w14:paraId="6792DC8E" w14:textId="3BB79575" w:rsidR="00534A2E" w:rsidRPr="00B824AA" w:rsidRDefault="00534A2E" w:rsidP="00CC3BD8">
            <w:pPr>
              <w:ind w:left="316"/>
              <w:rPr>
                <w:rFonts w:ascii="Times New Roman" w:hAnsi="Times New Roman" w:cs="Times New Roman"/>
              </w:rPr>
            </w:pPr>
            <w:r w:rsidRPr="00B824AA">
              <w:rPr>
                <w:rFonts w:ascii="Times New Roman" w:hAnsi="Times New Roman" w:cs="Times New Roman"/>
              </w:rPr>
              <w:lastRenderedPageBreak/>
              <w:t>Wykorzystanie surowców wtórnych</w:t>
            </w:r>
          </w:p>
        </w:tc>
        <w:tc>
          <w:tcPr>
            <w:tcW w:w="2124" w:type="dxa"/>
            <w:tcBorders>
              <w:top w:val="nil"/>
              <w:bottom w:val="nil"/>
            </w:tcBorders>
          </w:tcPr>
          <w:p w14:paraId="082428C7"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6E3D1110"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37C48A8C" w14:textId="77777777" w:rsidR="00534A2E" w:rsidRPr="00B824AA" w:rsidRDefault="00534A2E" w:rsidP="00CC3BD8">
            <w:pPr>
              <w:tabs>
                <w:tab w:val="decimal" w:pos="1221"/>
              </w:tabs>
              <w:rPr>
                <w:rFonts w:ascii="Times New Roman" w:hAnsi="Times New Roman" w:cs="Times New Roman"/>
              </w:rPr>
            </w:pPr>
          </w:p>
        </w:tc>
      </w:tr>
      <w:tr w:rsidR="00FD7B92" w:rsidRPr="00B824AA" w14:paraId="233057FF" w14:textId="77777777" w:rsidTr="00C07356">
        <w:tc>
          <w:tcPr>
            <w:tcW w:w="2689" w:type="dxa"/>
            <w:tcBorders>
              <w:top w:val="nil"/>
              <w:bottom w:val="nil"/>
            </w:tcBorders>
          </w:tcPr>
          <w:p w14:paraId="56A2F11C" w14:textId="77777777" w:rsidR="00FD7B92" w:rsidRPr="00B824AA" w:rsidRDefault="00FD7B92" w:rsidP="000733A8">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4408A78C" w14:textId="7CD3A587" w:rsidR="00FD7B92" w:rsidRPr="00FD7B92" w:rsidRDefault="00FD7B92" w:rsidP="000733A8">
            <w:pPr>
              <w:tabs>
                <w:tab w:val="decimal" w:pos="1135"/>
              </w:tabs>
              <w:rPr>
                <w:rFonts w:ascii="Times New Roman" w:hAnsi="Times New Roman" w:cs="Times New Roman"/>
              </w:rPr>
            </w:pPr>
            <w:r w:rsidRPr="00FD7B92">
              <w:rPr>
                <w:rFonts w:ascii="Times New Roman" w:hAnsi="Times New Roman" w:cs="Times New Roman"/>
              </w:rPr>
              <w:t>89</w:t>
            </w:r>
          </w:p>
        </w:tc>
        <w:tc>
          <w:tcPr>
            <w:tcW w:w="2124" w:type="dxa"/>
            <w:tcBorders>
              <w:top w:val="nil"/>
              <w:bottom w:val="nil"/>
            </w:tcBorders>
          </w:tcPr>
          <w:p w14:paraId="1B1080AD" w14:textId="5E821F5B" w:rsidR="00FD7B92" w:rsidRPr="00FD7B92" w:rsidRDefault="00FD7B92" w:rsidP="000733A8">
            <w:pPr>
              <w:tabs>
                <w:tab w:val="decimal" w:pos="1107"/>
              </w:tabs>
              <w:rPr>
                <w:rFonts w:ascii="Times New Roman" w:hAnsi="Times New Roman" w:cs="Times New Roman"/>
              </w:rPr>
            </w:pPr>
            <w:r w:rsidRPr="00FD7B92">
              <w:rPr>
                <w:rFonts w:ascii="Times New Roman" w:hAnsi="Times New Roman" w:cs="Times New Roman"/>
              </w:rPr>
              <w:t>85</w:t>
            </w:r>
          </w:p>
        </w:tc>
        <w:tc>
          <w:tcPr>
            <w:tcW w:w="2125" w:type="dxa"/>
            <w:tcBorders>
              <w:top w:val="nil"/>
              <w:bottom w:val="nil"/>
            </w:tcBorders>
          </w:tcPr>
          <w:p w14:paraId="63252604" w14:textId="40F9D4E1" w:rsidR="00FD7B92" w:rsidRPr="00FD7B92" w:rsidRDefault="00FD7B92" w:rsidP="000733A8">
            <w:pPr>
              <w:tabs>
                <w:tab w:val="decimal" w:pos="1221"/>
              </w:tabs>
              <w:rPr>
                <w:rFonts w:ascii="Times New Roman" w:hAnsi="Times New Roman" w:cs="Times New Roman"/>
              </w:rPr>
            </w:pPr>
            <w:r w:rsidRPr="00FD7B92">
              <w:rPr>
                <w:rFonts w:ascii="Times New Roman" w:hAnsi="Times New Roman" w:cs="Times New Roman"/>
              </w:rPr>
              <w:t>163</w:t>
            </w:r>
          </w:p>
        </w:tc>
      </w:tr>
      <w:tr w:rsidR="00FD7B92" w:rsidRPr="00B824AA" w14:paraId="7DFEAC3C" w14:textId="77777777" w:rsidTr="00C07356">
        <w:tc>
          <w:tcPr>
            <w:tcW w:w="2689" w:type="dxa"/>
            <w:tcBorders>
              <w:top w:val="nil"/>
              <w:bottom w:val="nil"/>
            </w:tcBorders>
          </w:tcPr>
          <w:p w14:paraId="10ACA4BC" w14:textId="77777777" w:rsidR="00FD7B92" w:rsidRPr="00B824AA" w:rsidRDefault="00FD7B92" w:rsidP="000733A8">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4A3884A2" w14:textId="4B688804" w:rsidR="00FD7B92" w:rsidRPr="00FD7B92" w:rsidRDefault="00FD7B92" w:rsidP="000733A8">
            <w:pPr>
              <w:tabs>
                <w:tab w:val="decimal" w:pos="1135"/>
              </w:tabs>
              <w:rPr>
                <w:rFonts w:ascii="Times New Roman" w:hAnsi="Times New Roman" w:cs="Times New Roman"/>
              </w:rPr>
            </w:pPr>
            <w:r w:rsidRPr="00FD7B92">
              <w:rPr>
                <w:rFonts w:ascii="Times New Roman" w:hAnsi="Times New Roman" w:cs="Times New Roman"/>
              </w:rPr>
              <w:t>89</w:t>
            </w:r>
          </w:p>
        </w:tc>
        <w:tc>
          <w:tcPr>
            <w:tcW w:w="2124" w:type="dxa"/>
            <w:tcBorders>
              <w:top w:val="nil"/>
              <w:bottom w:val="nil"/>
            </w:tcBorders>
          </w:tcPr>
          <w:p w14:paraId="75450780" w14:textId="0436D7D9" w:rsidR="00FD7B92" w:rsidRPr="00FD7B92" w:rsidRDefault="00FD7B92" w:rsidP="000733A8">
            <w:pPr>
              <w:tabs>
                <w:tab w:val="decimal" w:pos="1107"/>
              </w:tabs>
              <w:rPr>
                <w:rFonts w:ascii="Times New Roman" w:hAnsi="Times New Roman" w:cs="Times New Roman"/>
              </w:rPr>
            </w:pPr>
            <w:r w:rsidRPr="00FD7B92">
              <w:rPr>
                <w:rFonts w:ascii="Times New Roman" w:hAnsi="Times New Roman" w:cs="Times New Roman"/>
              </w:rPr>
              <w:t>85</w:t>
            </w:r>
          </w:p>
        </w:tc>
        <w:tc>
          <w:tcPr>
            <w:tcW w:w="2125" w:type="dxa"/>
            <w:tcBorders>
              <w:top w:val="nil"/>
              <w:bottom w:val="nil"/>
            </w:tcBorders>
          </w:tcPr>
          <w:p w14:paraId="743DB2BB" w14:textId="470363DE" w:rsidR="00FD7B92" w:rsidRPr="00FD7B92" w:rsidRDefault="00FD7B92" w:rsidP="000733A8">
            <w:pPr>
              <w:tabs>
                <w:tab w:val="decimal" w:pos="1221"/>
              </w:tabs>
              <w:rPr>
                <w:rFonts w:ascii="Times New Roman" w:hAnsi="Times New Roman" w:cs="Times New Roman"/>
              </w:rPr>
            </w:pPr>
            <w:r w:rsidRPr="00FD7B92">
              <w:rPr>
                <w:rFonts w:ascii="Times New Roman" w:hAnsi="Times New Roman" w:cs="Times New Roman"/>
              </w:rPr>
              <w:t>158</w:t>
            </w:r>
          </w:p>
        </w:tc>
      </w:tr>
      <w:tr w:rsidR="00FD7B92" w:rsidRPr="00B824AA" w14:paraId="7B760995" w14:textId="77777777" w:rsidTr="00C07356">
        <w:tc>
          <w:tcPr>
            <w:tcW w:w="2689" w:type="dxa"/>
            <w:tcBorders>
              <w:top w:val="nil"/>
              <w:bottom w:val="nil"/>
            </w:tcBorders>
          </w:tcPr>
          <w:p w14:paraId="2E228730" w14:textId="77777777" w:rsidR="00FD7B92" w:rsidRPr="00B824AA" w:rsidRDefault="00FD7B92" w:rsidP="000733A8">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7DA90CFB" w14:textId="681B12CA" w:rsidR="00FD7B92" w:rsidRPr="00FD7B92" w:rsidRDefault="00FD7B92" w:rsidP="000733A8">
            <w:pPr>
              <w:tabs>
                <w:tab w:val="decimal" w:pos="1135"/>
              </w:tabs>
              <w:rPr>
                <w:rFonts w:ascii="Times New Roman" w:hAnsi="Times New Roman" w:cs="Times New Roman"/>
              </w:rPr>
            </w:pPr>
            <w:r w:rsidRPr="00FD7B92">
              <w:rPr>
                <w:rFonts w:ascii="Times New Roman" w:hAnsi="Times New Roman" w:cs="Times New Roman"/>
              </w:rPr>
              <w:t>52</w:t>
            </w:r>
          </w:p>
        </w:tc>
        <w:tc>
          <w:tcPr>
            <w:tcW w:w="2124" w:type="dxa"/>
            <w:tcBorders>
              <w:top w:val="nil"/>
              <w:bottom w:val="nil"/>
            </w:tcBorders>
          </w:tcPr>
          <w:p w14:paraId="59640380" w14:textId="71ACB2BC" w:rsidR="00FD7B92" w:rsidRPr="00FD7B92" w:rsidRDefault="00FD7B92" w:rsidP="000733A8">
            <w:pPr>
              <w:tabs>
                <w:tab w:val="decimal" w:pos="1107"/>
              </w:tabs>
              <w:rPr>
                <w:rFonts w:ascii="Times New Roman" w:hAnsi="Times New Roman" w:cs="Times New Roman"/>
              </w:rPr>
            </w:pPr>
            <w:r w:rsidRPr="00FD7B92">
              <w:rPr>
                <w:rFonts w:ascii="Times New Roman" w:hAnsi="Times New Roman" w:cs="Times New Roman"/>
              </w:rPr>
              <w:t>49</w:t>
            </w:r>
          </w:p>
        </w:tc>
        <w:tc>
          <w:tcPr>
            <w:tcW w:w="2125" w:type="dxa"/>
            <w:tcBorders>
              <w:top w:val="nil"/>
              <w:bottom w:val="nil"/>
            </w:tcBorders>
          </w:tcPr>
          <w:p w14:paraId="6CE72B53" w14:textId="0951D0F5" w:rsidR="00FD7B92" w:rsidRPr="00FD7B92" w:rsidRDefault="00FD7B92" w:rsidP="000733A8">
            <w:pPr>
              <w:tabs>
                <w:tab w:val="decimal" w:pos="1221"/>
              </w:tabs>
              <w:rPr>
                <w:rFonts w:ascii="Times New Roman" w:hAnsi="Times New Roman" w:cs="Times New Roman"/>
              </w:rPr>
            </w:pPr>
            <w:r w:rsidRPr="00FD7B92">
              <w:rPr>
                <w:rFonts w:ascii="Times New Roman" w:hAnsi="Times New Roman" w:cs="Times New Roman"/>
              </w:rPr>
              <w:t>103</w:t>
            </w:r>
          </w:p>
        </w:tc>
      </w:tr>
      <w:tr w:rsidR="00FD7B92" w:rsidRPr="00B824AA" w14:paraId="3F4682A3" w14:textId="77777777" w:rsidTr="00C07356">
        <w:tc>
          <w:tcPr>
            <w:tcW w:w="2689" w:type="dxa"/>
            <w:tcBorders>
              <w:top w:val="nil"/>
              <w:bottom w:val="nil"/>
            </w:tcBorders>
            <w:vAlign w:val="center"/>
          </w:tcPr>
          <w:p w14:paraId="0B735F92" w14:textId="77777777" w:rsidR="00FD7B92" w:rsidRPr="00B824AA" w:rsidRDefault="00FD7B92" w:rsidP="000733A8">
            <w:pPr>
              <w:ind w:left="316"/>
              <w:rPr>
                <w:rFonts w:ascii="Times New Roman" w:hAnsi="Times New Roman" w:cs="Times New Roman"/>
              </w:rPr>
            </w:pPr>
            <w:r w:rsidRPr="00B824AA">
              <w:rPr>
                <w:rFonts w:ascii="Times New Roman" w:hAnsi="Times New Roman" w:cs="Times New Roman"/>
                <w:color w:val="000000"/>
              </w:rPr>
              <w:t>2021</w:t>
            </w:r>
          </w:p>
        </w:tc>
        <w:tc>
          <w:tcPr>
            <w:tcW w:w="2124" w:type="dxa"/>
            <w:tcBorders>
              <w:top w:val="nil"/>
              <w:bottom w:val="nil"/>
            </w:tcBorders>
          </w:tcPr>
          <w:p w14:paraId="642623E0" w14:textId="22CA07D2" w:rsidR="00FD7B92" w:rsidRPr="00FD7B92" w:rsidRDefault="00FD7B92" w:rsidP="000733A8">
            <w:pPr>
              <w:tabs>
                <w:tab w:val="decimal" w:pos="1135"/>
              </w:tabs>
              <w:rPr>
                <w:rFonts w:ascii="Times New Roman" w:hAnsi="Times New Roman" w:cs="Times New Roman"/>
              </w:rPr>
            </w:pPr>
            <w:r w:rsidRPr="00FD7B92">
              <w:rPr>
                <w:rFonts w:ascii="Times New Roman" w:hAnsi="Times New Roman" w:cs="Times New Roman"/>
              </w:rPr>
              <w:t>67</w:t>
            </w:r>
          </w:p>
        </w:tc>
        <w:tc>
          <w:tcPr>
            <w:tcW w:w="2124" w:type="dxa"/>
            <w:tcBorders>
              <w:top w:val="nil"/>
              <w:bottom w:val="nil"/>
            </w:tcBorders>
          </w:tcPr>
          <w:p w14:paraId="263B3F4A" w14:textId="3B9ABB56" w:rsidR="00FD7B92" w:rsidRPr="00FD7B92" w:rsidRDefault="00FD7B92" w:rsidP="000733A8">
            <w:pPr>
              <w:tabs>
                <w:tab w:val="decimal" w:pos="1107"/>
              </w:tabs>
              <w:rPr>
                <w:rFonts w:ascii="Times New Roman" w:hAnsi="Times New Roman" w:cs="Times New Roman"/>
              </w:rPr>
            </w:pPr>
            <w:r w:rsidRPr="00FD7B92">
              <w:rPr>
                <w:rFonts w:ascii="Times New Roman" w:hAnsi="Times New Roman" w:cs="Times New Roman"/>
              </w:rPr>
              <w:t>63</w:t>
            </w:r>
          </w:p>
        </w:tc>
        <w:tc>
          <w:tcPr>
            <w:tcW w:w="2125" w:type="dxa"/>
            <w:tcBorders>
              <w:top w:val="nil"/>
              <w:bottom w:val="nil"/>
            </w:tcBorders>
          </w:tcPr>
          <w:p w14:paraId="49F7B779" w14:textId="3A11A6FD" w:rsidR="00FD7B92" w:rsidRPr="00FD7B92" w:rsidRDefault="00FD7B92" w:rsidP="000733A8">
            <w:pPr>
              <w:tabs>
                <w:tab w:val="decimal" w:pos="1221"/>
              </w:tabs>
              <w:rPr>
                <w:rFonts w:ascii="Times New Roman" w:hAnsi="Times New Roman" w:cs="Times New Roman"/>
              </w:rPr>
            </w:pPr>
            <w:r w:rsidRPr="00FD7B92">
              <w:rPr>
                <w:rFonts w:ascii="Times New Roman" w:hAnsi="Times New Roman" w:cs="Times New Roman"/>
              </w:rPr>
              <w:t>119</w:t>
            </w:r>
          </w:p>
        </w:tc>
      </w:tr>
      <w:tr w:rsidR="00FD7B92" w:rsidRPr="00B824AA" w14:paraId="45CE6DFF" w14:textId="77777777" w:rsidTr="00C07356">
        <w:tc>
          <w:tcPr>
            <w:tcW w:w="2689" w:type="dxa"/>
            <w:tcBorders>
              <w:top w:val="nil"/>
              <w:bottom w:val="nil"/>
            </w:tcBorders>
            <w:vAlign w:val="center"/>
          </w:tcPr>
          <w:p w14:paraId="7AACB223" w14:textId="1B5EAEE0" w:rsidR="00FD7B92" w:rsidRPr="00B824AA" w:rsidRDefault="00FD7B92" w:rsidP="000733A8">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bottom w:val="nil"/>
            </w:tcBorders>
          </w:tcPr>
          <w:p w14:paraId="4E3AF3EE" w14:textId="523FFC18" w:rsidR="00FD7B92" w:rsidRPr="00FD7B92" w:rsidRDefault="00FD7B92" w:rsidP="000733A8">
            <w:pPr>
              <w:tabs>
                <w:tab w:val="decimal" w:pos="1135"/>
              </w:tabs>
              <w:rPr>
                <w:rFonts w:ascii="Times New Roman" w:hAnsi="Times New Roman" w:cs="Times New Roman"/>
                <w:color w:val="000000"/>
              </w:rPr>
            </w:pPr>
            <w:r w:rsidRPr="00FD7B92">
              <w:rPr>
                <w:rFonts w:ascii="Times New Roman" w:hAnsi="Times New Roman" w:cs="Times New Roman"/>
              </w:rPr>
              <w:t>62</w:t>
            </w:r>
          </w:p>
        </w:tc>
        <w:tc>
          <w:tcPr>
            <w:tcW w:w="2124" w:type="dxa"/>
            <w:tcBorders>
              <w:top w:val="nil"/>
              <w:bottom w:val="nil"/>
            </w:tcBorders>
          </w:tcPr>
          <w:p w14:paraId="46ACDE08" w14:textId="7BB709CB" w:rsidR="00FD7B92" w:rsidRPr="00FD7B92" w:rsidRDefault="00FD7B92" w:rsidP="000733A8">
            <w:pPr>
              <w:tabs>
                <w:tab w:val="decimal" w:pos="1107"/>
              </w:tabs>
              <w:rPr>
                <w:rFonts w:ascii="Times New Roman" w:hAnsi="Times New Roman" w:cs="Times New Roman"/>
                <w:color w:val="000000"/>
              </w:rPr>
            </w:pPr>
            <w:r w:rsidRPr="00FD7B92">
              <w:rPr>
                <w:rFonts w:ascii="Times New Roman" w:hAnsi="Times New Roman" w:cs="Times New Roman"/>
              </w:rPr>
              <w:t>58</w:t>
            </w:r>
          </w:p>
        </w:tc>
        <w:tc>
          <w:tcPr>
            <w:tcW w:w="2125" w:type="dxa"/>
            <w:tcBorders>
              <w:top w:val="nil"/>
              <w:bottom w:val="nil"/>
            </w:tcBorders>
          </w:tcPr>
          <w:p w14:paraId="70CEBA4F" w14:textId="37FFB239" w:rsidR="00FD7B92" w:rsidRPr="00FD7B92" w:rsidRDefault="00FD7B92" w:rsidP="000733A8">
            <w:pPr>
              <w:tabs>
                <w:tab w:val="decimal" w:pos="1221"/>
              </w:tabs>
              <w:rPr>
                <w:rFonts w:ascii="Times New Roman" w:hAnsi="Times New Roman" w:cs="Times New Roman"/>
                <w:color w:val="000000"/>
              </w:rPr>
            </w:pPr>
            <w:r w:rsidRPr="00FD7B92">
              <w:rPr>
                <w:rFonts w:ascii="Times New Roman" w:hAnsi="Times New Roman" w:cs="Times New Roman"/>
              </w:rPr>
              <w:t>111</w:t>
            </w:r>
          </w:p>
        </w:tc>
      </w:tr>
      <w:tr w:rsidR="00866620" w:rsidRPr="00B824AA" w14:paraId="4CC6DAD1" w14:textId="77777777" w:rsidTr="005B1B67">
        <w:tc>
          <w:tcPr>
            <w:tcW w:w="2689" w:type="dxa"/>
            <w:tcBorders>
              <w:top w:val="nil"/>
              <w:bottom w:val="nil"/>
            </w:tcBorders>
            <w:vAlign w:val="center"/>
          </w:tcPr>
          <w:p w14:paraId="71A366F5" w14:textId="77777777" w:rsidR="00866620" w:rsidRDefault="00866620" w:rsidP="000733A8">
            <w:pPr>
              <w:ind w:left="316"/>
              <w:rPr>
                <w:rFonts w:ascii="Times New Roman" w:hAnsi="Times New Roman" w:cs="Times New Roman"/>
                <w:color w:val="000000"/>
              </w:rPr>
            </w:pPr>
          </w:p>
        </w:tc>
        <w:tc>
          <w:tcPr>
            <w:tcW w:w="2124" w:type="dxa"/>
            <w:tcBorders>
              <w:top w:val="nil"/>
              <w:bottom w:val="nil"/>
            </w:tcBorders>
            <w:vAlign w:val="bottom"/>
          </w:tcPr>
          <w:p w14:paraId="24B1CA14" w14:textId="77777777" w:rsidR="00866620" w:rsidRPr="00B824AA" w:rsidRDefault="00866620" w:rsidP="000733A8">
            <w:pPr>
              <w:tabs>
                <w:tab w:val="decimal" w:pos="1135"/>
              </w:tabs>
              <w:rPr>
                <w:rFonts w:ascii="Times New Roman" w:hAnsi="Times New Roman" w:cs="Times New Roman"/>
                <w:color w:val="000000"/>
              </w:rPr>
            </w:pPr>
          </w:p>
        </w:tc>
        <w:tc>
          <w:tcPr>
            <w:tcW w:w="2124" w:type="dxa"/>
            <w:tcBorders>
              <w:top w:val="nil"/>
              <w:bottom w:val="nil"/>
            </w:tcBorders>
            <w:vAlign w:val="bottom"/>
          </w:tcPr>
          <w:p w14:paraId="53A22B85" w14:textId="77777777" w:rsidR="00866620" w:rsidRPr="00B824AA" w:rsidRDefault="00866620" w:rsidP="000733A8">
            <w:pPr>
              <w:tabs>
                <w:tab w:val="decimal" w:pos="1107"/>
              </w:tabs>
              <w:rPr>
                <w:rFonts w:ascii="Times New Roman" w:hAnsi="Times New Roman" w:cs="Times New Roman"/>
                <w:color w:val="000000"/>
              </w:rPr>
            </w:pPr>
          </w:p>
        </w:tc>
        <w:tc>
          <w:tcPr>
            <w:tcW w:w="2125" w:type="dxa"/>
            <w:tcBorders>
              <w:top w:val="nil"/>
              <w:bottom w:val="nil"/>
            </w:tcBorders>
            <w:vAlign w:val="bottom"/>
          </w:tcPr>
          <w:p w14:paraId="0F6C6762" w14:textId="77777777" w:rsidR="00866620" w:rsidRPr="00B824AA" w:rsidRDefault="00866620" w:rsidP="000733A8">
            <w:pPr>
              <w:tabs>
                <w:tab w:val="decimal" w:pos="1221"/>
              </w:tabs>
              <w:rPr>
                <w:rFonts w:ascii="Times New Roman" w:hAnsi="Times New Roman" w:cs="Times New Roman"/>
                <w:color w:val="000000"/>
              </w:rPr>
            </w:pPr>
          </w:p>
        </w:tc>
      </w:tr>
      <w:tr w:rsidR="00534A2E" w:rsidRPr="00B824AA" w14:paraId="1FDE2929" w14:textId="77777777" w:rsidTr="005B1B67">
        <w:tc>
          <w:tcPr>
            <w:tcW w:w="2689" w:type="dxa"/>
            <w:tcBorders>
              <w:top w:val="nil"/>
              <w:bottom w:val="nil"/>
            </w:tcBorders>
          </w:tcPr>
          <w:p w14:paraId="7A5A91D6" w14:textId="0F0E6D5A" w:rsidR="00534A2E" w:rsidRPr="00B824AA" w:rsidRDefault="00534A2E" w:rsidP="00CC3BD8">
            <w:pPr>
              <w:ind w:left="316"/>
              <w:rPr>
                <w:rFonts w:ascii="Times New Roman" w:hAnsi="Times New Roman" w:cs="Times New Roman"/>
              </w:rPr>
            </w:pPr>
            <w:r w:rsidRPr="00B824AA">
              <w:rPr>
                <w:rFonts w:ascii="Times New Roman" w:hAnsi="Times New Roman" w:cs="Times New Roman"/>
              </w:rPr>
              <w:t>Emisja gazów cieplarnianych</w:t>
            </w:r>
          </w:p>
        </w:tc>
        <w:tc>
          <w:tcPr>
            <w:tcW w:w="2124" w:type="dxa"/>
            <w:tcBorders>
              <w:top w:val="nil"/>
              <w:bottom w:val="nil"/>
            </w:tcBorders>
          </w:tcPr>
          <w:p w14:paraId="7F99B08E" w14:textId="77777777" w:rsidR="00534A2E" w:rsidRPr="00B824AA" w:rsidRDefault="00534A2E" w:rsidP="00CC3BD8">
            <w:pPr>
              <w:tabs>
                <w:tab w:val="decimal" w:pos="1135"/>
              </w:tabs>
              <w:rPr>
                <w:rFonts w:ascii="Times New Roman" w:hAnsi="Times New Roman" w:cs="Times New Roman"/>
              </w:rPr>
            </w:pPr>
          </w:p>
        </w:tc>
        <w:tc>
          <w:tcPr>
            <w:tcW w:w="2124" w:type="dxa"/>
            <w:tcBorders>
              <w:top w:val="nil"/>
              <w:bottom w:val="nil"/>
            </w:tcBorders>
          </w:tcPr>
          <w:p w14:paraId="4617347E" w14:textId="77777777" w:rsidR="00534A2E" w:rsidRPr="00B824AA" w:rsidRDefault="00534A2E" w:rsidP="00CC3BD8">
            <w:pPr>
              <w:tabs>
                <w:tab w:val="decimal" w:pos="1107"/>
              </w:tabs>
              <w:rPr>
                <w:rFonts w:ascii="Times New Roman" w:hAnsi="Times New Roman" w:cs="Times New Roman"/>
              </w:rPr>
            </w:pPr>
          </w:p>
        </w:tc>
        <w:tc>
          <w:tcPr>
            <w:tcW w:w="2125" w:type="dxa"/>
            <w:tcBorders>
              <w:top w:val="nil"/>
              <w:bottom w:val="nil"/>
            </w:tcBorders>
          </w:tcPr>
          <w:p w14:paraId="034597D3" w14:textId="77777777" w:rsidR="00534A2E" w:rsidRPr="00B824AA" w:rsidRDefault="00534A2E" w:rsidP="00CC3BD8">
            <w:pPr>
              <w:tabs>
                <w:tab w:val="decimal" w:pos="1221"/>
              </w:tabs>
              <w:rPr>
                <w:rFonts w:ascii="Times New Roman" w:hAnsi="Times New Roman" w:cs="Times New Roman"/>
              </w:rPr>
            </w:pPr>
          </w:p>
        </w:tc>
      </w:tr>
      <w:tr w:rsidR="000622FD" w:rsidRPr="00B824AA" w14:paraId="0BF64CC4" w14:textId="77777777" w:rsidTr="006875A5">
        <w:tc>
          <w:tcPr>
            <w:tcW w:w="2689" w:type="dxa"/>
            <w:tcBorders>
              <w:top w:val="nil"/>
              <w:bottom w:val="nil"/>
            </w:tcBorders>
          </w:tcPr>
          <w:p w14:paraId="28DDC385" w14:textId="77777777" w:rsidR="000622FD" w:rsidRPr="00B824AA" w:rsidRDefault="000622FD" w:rsidP="000733A8">
            <w:pPr>
              <w:ind w:left="316"/>
              <w:rPr>
                <w:rFonts w:ascii="Times New Roman" w:hAnsi="Times New Roman" w:cs="Times New Roman"/>
              </w:rPr>
            </w:pPr>
            <w:r w:rsidRPr="00B824AA">
              <w:rPr>
                <w:rFonts w:ascii="Times New Roman" w:hAnsi="Times New Roman" w:cs="Times New Roman"/>
                <w:color w:val="000000"/>
              </w:rPr>
              <w:t>2010</w:t>
            </w:r>
          </w:p>
        </w:tc>
        <w:tc>
          <w:tcPr>
            <w:tcW w:w="2124" w:type="dxa"/>
            <w:tcBorders>
              <w:top w:val="nil"/>
              <w:bottom w:val="nil"/>
            </w:tcBorders>
          </w:tcPr>
          <w:p w14:paraId="5EA28395" w14:textId="0192404F" w:rsidR="000622FD" w:rsidRPr="000622FD" w:rsidRDefault="000622FD" w:rsidP="000733A8">
            <w:pPr>
              <w:tabs>
                <w:tab w:val="decimal" w:pos="1135"/>
              </w:tabs>
              <w:rPr>
                <w:rFonts w:ascii="Times New Roman" w:hAnsi="Times New Roman" w:cs="Times New Roman"/>
              </w:rPr>
            </w:pPr>
            <w:r w:rsidRPr="000622FD">
              <w:rPr>
                <w:rFonts w:ascii="Times New Roman" w:hAnsi="Times New Roman" w:cs="Times New Roman"/>
              </w:rPr>
              <w:t>78</w:t>
            </w:r>
          </w:p>
        </w:tc>
        <w:tc>
          <w:tcPr>
            <w:tcW w:w="2124" w:type="dxa"/>
            <w:tcBorders>
              <w:top w:val="nil"/>
              <w:bottom w:val="nil"/>
            </w:tcBorders>
          </w:tcPr>
          <w:p w14:paraId="1B9EC2CC" w14:textId="62B9D9C2" w:rsidR="000622FD" w:rsidRPr="000622FD" w:rsidRDefault="000622FD" w:rsidP="000733A8">
            <w:pPr>
              <w:tabs>
                <w:tab w:val="decimal" w:pos="1107"/>
              </w:tabs>
              <w:rPr>
                <w:rFonts w:ascii="Times New Roman" w:hAnsi="Times New Roman" w:cs="Times New Roman"/>
              </w:rPr>
            </w:pPr>
            <w:r w:rsidRPr="000622FD">
              <w:rPr>
                <w:rFonts w:ascii="Times New Roman" w:hAnsi="Times New Roman" w:cs="Times New Roman"/>
              </w:rPr>
              <w:t>82</w:t>
            </w:r>
          </w:p>
        </w:tc>
        <w:tc>
          <w:tcPr>
            <w:tcW w:w="2125" w:type="dxa"/>
            <w:tcBorders>
              <w:top w:val="nil"/>
              <w:bottom w:val="nil"/>
            </w:tcBorders>
          </w:tcPr>
          <w:p w14:paraId="34A3D384" w14:textId="0EE3D720" w:rsidR="000622FD" w:rsidRPr="000622FD" w:rsidRDefault="000622FD" w:rsidP="000733A8">
            <w:pPr>
              <w:tabs>
                <w:tab w:val="decimal" w:pos="1221"/>
              </w:tabs>
              <w:rPr>
                <w:rFonts w:ascii="Times New Roman" w:hAnsi="Times New Roman" w:cs="Times New Roman"/>
              </w:rPr>
            </w:pPr>
            <w:r w:rsidRPr="000622FD">
              <w:rPr>
                <w:rFonts w:ascii="Times New Roman" w:hAnsi="Times New Roman" w:cs="Times New Roman"/>
              </w:rPr>
              <w:t>68</w:t>
            </w:r>
          </w:p>
        </w:tc>
      </w:tr>
      <w:tr w:rsidR="000622FD" w:rsidRPr="00B824AA" w14:paraId="536ABF47" w14:textId="77777777" w:rsidTr="006875A5">
        <w:tc>
          <w:tcPr>
            <w:tcW w:w="2689" w:type="dxa"/>
            <w:tcBorders>
              <w:top w:val="nil"/>
              <w:bottom w:val="nil"/>
            </w:tcBorders>
          </w:tcPr>
          <w:p w14:paraId="02EBBE91" w14:textId="77777777" w:rsidR="000622FD" w:rsidRPr="00B824AA" w:rsidRDefault="000622FD" w:rsidP="000733A8">
            <w:pPr>
              <w:ind w:left="316"/>
              <w:rPr>
                <w:rFonts w:ascii="Times New Roman" w:hAnsi="Times New Roman" w:cs="Times New Roman"/>
              </w:rPr>
            </w:pPr>
            <w:r w:rsidRPr="00B824AA">
              <w:rPr>
                <w:rFonts w:ascii="Times New Roman" w:hAnsi="Times New Roman" w:cs="Times New Roman"/>
                <w:color w:val="000000"/>
              </w:rPr>
              <w:t>2015</w:t>
            </w:r>
          </w:p>
        </w:tc>
        <w:tc>
          <w:tcPr>
            <w:tcW w:w="2124" w:type="dxa"/>
            <w:tcBorders>
              <w:top w:val="nil"/>
              <w:bottom w:val="nil"/>
            </w:tcBorders>
          </w:tcPr>
          <w:p w14:paraId="28FA7F78" w14:textId="55C097ED" w:rsidR="000622FD" w:rsidRPr="000622FD" w:rsidRDefault="000622FD" w:rsidP="000733A8">
            <w:pPr>
              <w:tabs>
                <w:tab w:val="decimal" w:pos="1135"/>
              </w:tabs>
              <w:rPr>
                <w:rFonts w:ascii="Times New Roman" w:hAnsi="Times New Roman" w:cs="Times New Roman"/>
              </w:rPr>
            </w:pPr>
            <w:r w:rsidRPr="000622FD">
              <w:rPr>
                <w:rFonts w:ascii="Times New Roman" w:hAnsi="Times New Roman" w:cs="Times New Roman"/>
              </w:rPr>
              <w:t>74</w:t>
            </w:r>
          </w:p>
        </w:tc>
        <w:tc>
          <w:tcPr>
            <w:tcW w:w="2124" w:type="dxa"/>
            <w:tcBorders>
              <w:top w:val="nil"/>
              <w:bottom w:val="nil"/>
            </w:tcBorders>
          </w:tcPr>
          <w:p w14:paraId="2CF8DA51" w14:textId="58914CDE" w:rsidR="000622FD" w:rsidRPr="000622FD" w:rsidRDefault="000622FD" w:rsidP="000733A8">
            <w:pPr>
              <w:tabs>
                <w:tab w:val="decimal" w:pos="1107"/>
              </w:tabs>
              <w:rPr>
                <w:rFonts w:ascii="Times New Roman" w:hAnsi="Times New Roman" w:cs="Times New Roman"/>
              </w:rPr>
            </w:pPr>
            <w:r w:rsidRPr="000622FD">
              <w:rPr>
                <w:rFonts w:ascii="Times New Roman" w:hAnsi="Times New Roman" w:cs="Times New Roman"/>
              </w:rPr>
              <w:t>75</w:t>
            </w:r>
          </w:p>
        </w:tc>
        <w:tc>
          <w:tcPr>
            <w:tcW w:w="2125" w:type="dxa"/>
            <w:tcBorders>
              <w:top w:val="nil"/>
              <w:bottom w:val="nil"/>
            </w:tcBorders>
          </w:tcPr>
          <w:p w14:paraId="61DC16FC" w14:textId="593EBE75" w:rsidR="000622FD" w:rsidRPr="000622FD" w:rsidRDefault="000622FD" w:rsidP="000733A8">
            <w:pPr>
              <w:tabs>
                <w:tab w:val="decimal" w:pos="1221"/>
              </w:tabs>
              <w:rPr>
                <w:rFonts w:ascii="Times New Roman" w:hAnsi="Times New Roman" w:cs="Times New Roman"/>
              </w:rPr>
            </w:pPr>
            <w:r w:rsidRPr="000622FD">
              <w:rPr>
                <w:rFonts w:ascii="Times New Roman" w:hAnsi="Times New Roman" w:cs="Times New Roman"/>
              </w:rPr>
              <w:t>70</w:t>
            </w:r>
          </w:p>
        </w:tc>
      </w:tr>
      <w:tr w:rsidR="000622FD" w:rsidRPr="00B824AA" w14:paraId="18CBB3D8" w14:textId="77777777" w:rsidTr="006875A5">
        <w:tc>
          <w:tcPr>
            <w:tcW w:w="2689" w:type="dxa"/>
            <w:tcBorders>
              <w:top w:val="nil"/>
              <w:bottom w:val="nil"/>
            </w:tcBorders>
          </w:tcPr>
          <w:p w14:paraId="4138D8B1" w14:textId="77777777" w:rsidR="000622FD" w:rsidRPr="00B824AA" w:rsidRDefault="000622FD" w:rsidP="000733A8">
            <w:pPr>
              <w:ind w:left="316"/>
              <w:rPr>
                <w:rFonts w:ascii="Times New Roman" w:hAnsi="Times New Roman" w:cs="Times New Roman"/>
              </w:rPr>
            </w:pPr>
            <w:r w:rsidRPr="00B824AA">
              <w:rPr>
                <w:rFonts w:ascii="Times New Roman" w:hAnsi="Times New Roman" w:cs="Times New Roman"/>
                <w:color w:val="000000"/>
              </w:rPr>
              <w:t>2020</w:t>
            </w:r>
          </w:p>
        </w:tc>
        <w:tc>
          <w:tcPr>
            <w:tcW w:w="2124" w:type="dxa"/>
            <w:tcBorders>
              <w:top w:val="nil"/>
              <w:bottom w:val="nil"/>
            </w:tcBorders>
          </w:tcPr>
          <w:p w14:paraId="3CDDC63C" w14:textId="571D783A" w:rsidR="000622FD" w:rsidRPr="000622FD" w:rsidRDefault="000622FD" w:rsidP="000733A8">
            <w:pPr>
              <w:tabs>
                <w:tab w:val="decimal" w:pos="1135"/>
              </w:tabs>
              <w:rPr>
                <w:rFonts w:ascii="Times New Roman" w:hAnsi="Times New Roman" w:cs="Times New Roman"/>
              </w:rPr>
            </w:pPr>
            <w:r w:rsidRPr="000622FD">
              <w:rPr>
                <w:rFonts w:ascii="Times New Roman" w:hAnsi="Times New Roman" w:cs="Times New Roman"/>
              </w:rPr>
              <w:t>66</w:t>
            </w:r>
          </w:p>
        </w:tc>
        <w:tc>
          <w:tcPr>
            <w:tcW w:w="2124" w:type="dxa"/>
            <w:tcBorders>
              <w:top w:val="nil"/>
              <w:bottom w:val="nil"/>
            </w:tcBorders>
          </w:tcPr>
          <w:p w14:paraId="230AADA9" w14:textId="209A2E3A" w:rsidR="000622FD" w:rsidRPr="000622FD" w:rsidRDefault="000622FD" w:rsidP="000733A8">
            <w:pPr>
              <w:tabs>
                <w:tab w:val="decimal" w:pos="1107"/>
              </w:tabs>
              <w:rPr>
                <w:rFonts w:ascii="Times New Roman" w:hAnsi="Times New Roman" w:cs="Times New Roman"/>
              </w:rPr>
            </w:pPr>
            <w:r w:rsidRPr="000622FD">
              <w:rPr>
                <w:rFonts w:ascii="Times New Roman" w:hAnsi="Times New Roman" w:cs="Times New Roman"/>
              </w:rPr>
              <w:t>65</w:t>
            </w:r>
          </w:p>
        </w:tc>
        <w:tc>
          <w:tcPr>
            <w:tcW w:w="2125" w:type="dxa"/>
            <w:tcBorders>
              <w:top w:val="nil"/>
              <w:bottom w:val="nil"/>
            </w:tcBorders>
          </w:tcPr>
          <w:p w14:paraId="6BB4F945" w14:textId="55EC22CA" w:rsidR="000622FD" w:rsidRPr="000622FD" w:rsidRDefault="000622FD" w:rsidP="000733A8">
            <w:pPr>
              <w:tabs>
                <w:tab w:val="decimal" w:pos="1221"/>
              </w:tabs>
              <w:rPr>
                <w:rFonts w:ascii="Times New Roman" w:hAnsi="Times New Roman" w:cs="Times New Roman"/>
              </w:rPr>
            </w:pPr>
            <w:r w:rsidRPr="000622FD">
              <w:rPr>
                <w:rFonts w:ascii="Times New Roman" w:hAnsi="Times New Roman" w:cs="Times New Roman"/>
              </w:rPr>
              <w:t>69</w:t>
            </w:r>
          </w:p>
        </w:tc>
      </w:tr>
      <w:tr w:rsidR="000622FD" w:rsidRPr="00B824AA" w14:paraId="4B3A21F0" w14:textId="77777777" w:rsidTr="006875A5">
        <w:tc>
          <w:tcPr>
            <w:tcW w:w="2689" w:type="dxa"/>
            <w:tcBorders>
              <w:top w:val="nil"/>
              <w:bottom w:val="nil"/>
            </w:tcBorders>
          </w:tcPr>
          <w:p w14:paraId="0C0B045D" w14:textId="230CE4A4" w:rsidR="000622FD" w:rsidRPr="00B824AA" w:rsidRDefault="000622FD" w:rsidP="000733A8">
            <w:pPr>
              <w:ind w:left="316"/>
              <w:rPr>
                <w:rFonts w:ascii="Times New Roman" w:hAnsi="Times New Roman" w:cs="Times New Roman"/>
                <w:color w:val="000000"/>
              </w:rPr>
            </w:pPr>
            <w:r w:rsidRPr="00B824AA">
              <w:rPr>
                <w:rFonts w:ascii="Times New Roman" w:hAnsi="Times New Roman" w:cs="Times New Roman"/>
                <w:color w:val="000000"/>
              </w:rPr>
              <w:t>2021</w:t>
            </w:r>
          </w:p>
        </w:tc>
        <w:tc>
          <w:tcPr>
            <w:tcW w:w="2124" w:type="dxa"/>
            <w:tcBorders>
              <w:top w:val="nil"/>
              <w:bottom w:val="nil"/>
            </w:tcBorders>
          </w:tcPr>
          <w:p w14:paraId="1DB320DB" w14:textId="5EFF704E" w:rsidR="000622FD" w:rsidRPr="000622FD" w:rsidRDefault="000622FD" w:rsidP="000733A8">
            <w:pPr>
              <w:tabs>
                <w:tab w:val="decimal" w:pos="1135"/>
              </w:tabs>
              <w:rPr>
                <w:rFonts w:ascii="Times New Roman" w:hAnsi="Times New Roman" w:cs="Times New Roman"/>
                <w:color w:val="000000"/>
              </w:rPr>
            </w:pPr>
            <w:r w:rsidRPr="000622FD">
              <w:rPr>
                <w:rFonts w:ascii="Times New Roman" w:hAnsi="Times New Roman" w:cs="Times New Roman"/>
              </w:rPr>
              <w:t>71</w:t>
            </w:r>
          </w:p>
        </w:tc>
        <w:tc>
          <w:tcPr>
            <w:tcW w:w="2124" w:type="dxa"/>
            <w:tcBorders>
              <w:top w:val="nil"/>
              <w:bottom w:val="nil"/>
            </w:tcBorders>
          </w:tcPr>
          <w:p w14:paraId="7C002674" w14:textId="088440C6" w:rsidR="000622FD" w:rsidRPr="000622FD" w:rsidRDefault="000622FD" w:rsidP="000733A8">
            <w:pPr>
              <w:tabs>
                <w:tab w:val="decimal" w:pos="1107"/>
              </w:tabs>
              <w:rPr>
                <w:rFonts w:ascii="Times New Roman" w:hAnsi="Times New Roman" w:cs="Times New Roman"/>
                <w:color w:val="000000"/>
              </w:rPr>
            </w:pPr>
            <w:r w:rsidRPr="000622FD">
              <w:rPr>
                <w:rFonts w:ascii="Times New Roman" w:hAnsi="Times New Roman" w:cs="Times New Roman"/>
              </w:rPr>
              <w:t>69</w:t>
            </w:r>
          </w:p>
        </w:tc>
        <w:tc>
          <w:tcPr>
            <w:tcW w:w="2125" w:type="dxa"/>
            <w:tcBorders>
              <w:top w:val="nil"/>
              <w:bottom w:val="nil"/>
            </w:tcBorders>
          </w:tcPr>
          <w:p w14:paraId="2CD0397C" w14:textId="54B596A3" w:rsidR="000622FD" w:rsidRPr="000622FD" w:rsidRDefault="000622FD" w:rsidP="000733A8">
            <w:pPr>
              <w:tabs>
                <w:tab w:val="decimal" w:pos="1221"/>
              </w:tabs>
              <w:rPr>
                <w:rFonts w:ascii="Times New Roman" w:hAnsi="Times New Roman" w:cs="Times New Roman"/>
                <w:color w:val="000000"/>
              </w:rPr>
            </w:pPr>
            <w:r w:rsidRPr="000622FD">
              <w:rPr>
                <w:rFonts w:ascii="Times New Roman" w:hAnsi="Times New Roman" w:cs="Times New Roman"/>
              </w:rPr>
              <w:t>77</w:t>
            </w:r>
          </w:p>
        </w:tc>
      </w:tr>
      <w:tr w:rsidR="000622FD" w:rsidRPr="00B824AA" w14:paraId="63870779" w14:textId="77777777" w:rsidTr="006875A5">
        <w:tc>
          <w:tcPr>
            <w:tcW w:w="2689" w:type="dxa"/>
            <w:tcBorders>
              <w:top w:val="nil"/>
            </w:tcBorders>
          </w:tcPr>
          <w:p w14:paraId="40234437" w14:textId="4E36A451" w:rsidR="000622FD" w:rsidRPr="00B824AA" w:rsidRDefault="000622FD" w:rsidP="000733A8">
            <w:pPr>
              <w:ind w:left="316"/>
              <w:rPr>
                <w:rFonts w:ascii="Times New Roman" w:hAnsi="Times New Roman" w:cs="Times New Roman"/>
                <w:color w:val="000000"/>
              </w:rPr>
            </w:pPr>
            <w:r>
              <w:rPr>
                <w:rFonts w:ascii="Times New Roman" w:hAnsi="Times New Roman" w:cs="Times New Roman"/>
                <w:color w:val="000000"/>
              </w:rPr>
              <w:t>2022</w:t>
            </w:r>
          </w:p>
        </w:tc>
        <w:tc>
          <w:tcPr>
            <w:tcW w:w="2124" w:type="dxa"/>
            <w:tcBorders>
              <w:top w:val="nil"/>
            </w:tcBorders>
          </w:tcPr>
          <w:p w14:paraId="23FCC048" w14:textId="5560D995" w:rsidR="000622FD" w:rsidRPr="000622FD" w:rsidRDefault="000622FD" w:rsidP="000733A8">
            <w:pPr>
              <w:tabs>
                <w:tab w:val="decimal" w:pos="1135"/>
              </w:tabs>
              <w:rPr>
                <w:rFonts w:ascii="Times New Roman" w:hAnsi="Times New Roman" w:cs="Times New Roman"/>
                <w:color w:val="000000"/>
              </w:rPr>
            </w:pPr>
            <w:r w:rsidRPr="000622FD">
              <w:rPr>
                <w:rFonts w:ascii="Times New Roman" w:hAnsi="Times New Roman" w:cs="Times New Roman"/>
              </w:rPr>
              <w:t>73</w:t>
            </w:r>
          </w:p>
        </w:tc>
        <w:tc>
          <w:tcPr>
            <w:tcW w:w="2124" w:type="dxa"/>
            <w:tcBorders>
              <w:top w:val="nil"/>
            </w:tcBorders>
          </w:tcPr>
          <w:p w14:paraId="32695CE1" w14:textId="7F881852" w:rsidR="000622FD" w:rsidRPr="000622FD" w:rsidRDefault="000622FD" w:rsidP="000733A8">
            <w:pPr>
              <w:tabs>
                <w:tab w:val="decimal" w:pos="1107"/>
              </w:tabs>
              <w:rPr>
                <w:rFonts w:ascii="Times New Roman" w:hAnsi="Times New Roman" w:cs="Times New Roman"/>
                <w:color w:val="000000"/>
              </w:rPr>
            </w:pPr>
            <w:r w:rsidRPr="000622FD">
              <w:rPr>
                <w:rFonts w:ascii="Times New Roman" w:hAnsi="Times New Roman" w:cs="Times New Roman"/>
              </w:rPr>
              <w:t>72</w:t>
            </w:r>
          </w:p>
        </w:tc>
        <w:tc>
          <w:tcPr>
            <w:tcW w:w="2125" w:type="dxa"/>
            <w:tcBorders>
              <w:top w:val="nil"/>
            </w:tcBorders>
          </w:tcPr>
          <w:p w14:paraId="0F1CEB99" w14:textId="2319F0E9" w:rsidR="000622FD" w:rsidRPr="000622FD" w:rsidRDefault="000622FD" w:rsidP="000733A8">
            <w:pPr>
              <w:tabs>
                <w:tab w:val="decimal" w:pos="1221"/>
              </w:tabs>
              <w:rPr>
                <w:rFonts w:ascii="Times New Roman" w:hAnsi="Times New Roman" w:cs="Times New Roman"/>
                <w:color w:val="000000"/>
              </w:rPr>
            </w:pPr>
            <w:r w:rsidRPr="000622FD">
              <w:rPr>
                <w:rFonts w:ascii="Times New Roman" w:hAnsi="Times New Roman" w:cs="Times New Roman"/>
              </w:rPr>
              <w:t>78</w:t>
            </w:r>
          </w:p>
        </w:tc>
      </w:tr>
    </w:tbl>
    <w:p w14:paraId="02182F81" w14:textId="77777777" w:rsidR="00A71013" w:rsidRDefault="00A71013" w:rsidP="00A71013">
      <w:pPr>
        <w:rPr>
          <w:rFonts w:ascii="Times New Roman" w:hAnsi="Times New Roman" w:cs="Times New Roman"/>
          <w:i/>
          <w:iCs/>
          <w:sz w:val="24"/>
          <w:szCs w:val="24"/>
        </w:rPr>
      </w:pPr>
      <w:r w:rsidRPr="00B824AA">
        <w:rPr>
          <w:rFonts w:ascii="Times New Roman" w:hAnsi="Times New Roman" w:cs="Times New Roman"/>
          <w:i/>
          <w:iCs/>
          <w:sz w:val="24"/>
          <w:szCs w:val="24"/>
        </w:rPr>
        <w:t>Źródło: obliczenia autorów</w:t>
      </w:r>
    </w:p>
    <w:p w14:paraId="2CC52E0B" w14:textId="77777777" w:rsidR="00251D3F" w:rsidRPr="00B824AA" w:rsidRDefault="00251D3F" w:rsidP="00A71013">
      <w:pPr>
        <w:rPr>
          <w:rFonts w:ascii="Times New Roman" w:hAnsi="Times New Roman" w:cs="Times New Roman"/>
          <w:i/>
          <w:iCs/>
          <w:sz w:val="24"/>
          <w:szCs w:val="24"/>
        </w:rPr>
      </w:pPr>
    </w:p>
    <w:p w14:paraId="2F02BAC1" w14:textId="01AC5D4E" w:rsidR="00EA3005" w:rsidRPr="00B824AA" w:rsidRDefault="0012287C" w:rsidP="00EA3005">
      <w:pPr>
        <w:pStyle w:val="Heading1"/>
        <w:rPr>
          <w:rFonts w:ascii="Times New Roman" w:hAnsi="Times New Roman" w:cs="Times New Roman"/>
          <w:sz w:val="36"/>
          <w:szCs w:val="36"/>
        </w:rPr>
      </w:pPr>
      <w:bookmarkStart w:id="13" w:name="_Toc162905469"/>
      <w:r w:rsidRPr="00B824AA">
        <w:rPr>
          <w:rFonts w:ascii="Times New Roman" w:hAnsi="Times New Roman" w:cs="Times New Roman"/>
          <w:sz w:val="36"/>
          <w:szCs w:val="36"/>
        </w:rPr>
        <w:t>Podsumowanie</w:t>
      </w:r>
      <w:bookmarkEnd w:id="13"/>
    </w:p>
    <w:p w14:paraId="523F9979" w14:textId="18A431C9" w:rsidR="00251D3F" w:rsidRPr="00802423" w:rsidRDefault="00EA3005" w:rsidP="0043132A">
      <w:pPr>
        <w:spacing w:line="360" w:lineRule="auto"/>
        <w:jc w:val="both"/>
        <w:rPr>
          <w:rFonts w:ascii="Times New Roman" w:hAnsi="Times New Roman" w:cs="Times New Roman"/>
          <w:i/>
          <w:iCs/>
          <w:sz w:val="24"/>
          <w:szCs w:val="24"/>
        </w:rPr>
      </w:pPr>
      <w:r w:rsidRPr="00B824AA">
        <w:rPr>
          <w:rFonts w:ascii="Times New Roman" w:hAnsi="Times New Roman" w:cs="Times New Roman"/>
          <w:i/>
          <w:iCs/>
          <w:sz w:val="24"/>
          <w:szCs w:val="24"/>
        </w:rPr>
        <w:t>Agnieszka Chłoń-Domińczak</w:t>
      </w:r>
    </w:p>
    <w:p w14:paraId="79B95EC5" w14:textId="77777777" w:rsidR="00A26B02" w:rsidRDefault="00802423" w:rsidP="00431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Trzecia </w:t>
      </w:r>
      <w:r w:rsidR="0060439C">
        <w:rPr>
          <w:rFonts w:ascii="Times New Roman" w:hAnsi="Times New Roman" w:cs="Times New Roman"/>
          <w:sz w:val="24"/>
          <w:szCs w:val="24"/>
        </w:rPr>
        <w:t xml:space="preserve">edycja wskaźnika </w:t>
      </w:r>
      <w:proofErr w:type="spellStart"/>
      <w:r w:rsidR="009B2D4F">
        <w:rPr>
          <w:rFonts w:ascii="Times New Roman" w:hAnsi="Times New Roman" w:cs="Times New Roman"/>
          <w:i/>
          <w:iCs/>
          <w:sz w:val="24"/>
          <w:szCs w:val="24"/>
        </w:rPr>
        <w:t>catch-up</w:t>
      </w:r>
      <w:proofErr w:type="spellEnd"/>
      <w:r w:rsidR="0060439C">
        <w:rPr>
          <w:rFonts w:ascii="Times New Roman" w:hAnsi="Times New Roman" w:cs="Times New Roman"/>
          <w:i/>
          <w:iCs/>
          <w:sz w:val="24"/>
          <w:szCs w:val="24"/>
        </w:rPr>
        <w:t xml:space="preserve"> </w:t>
      </w:r>
      <w:r w:rsidR="0060439C">
        <w:rPr>
          <w:rFonts w:ascii="Times New Roman" w:hAnsi="Times New Roman" w:cs="Times New Roman"/>
          <w:sz w:val="24"/>
          <w:szCs w:val="24"/>
        </w:rPr>
        <w:t>pokazał</w:t>
      </w:r>
      <w:r w:rsidR="002C286D">
        <w:rPr>
          <w:rFonts w:ascii="Times New Roman" w:hAnsi="Times New Roman" w:cs="Times New Roman"/>
          <w:sz w:val="24"/>
          <w:szCs w:val="24"/>
        </w:rPr>
        <w:t xml:space="preserve">a nieznaczne zmniejszenie luki </w:t>
      </w:r>
      <w:r w:rsidR="00672CBC">
        <w:rPr>
          <w:rFonts w:ascii="Times New Roman" w:hAnsi="Times New Roman" w:cs="Times New Roman"/>
          <w:sz w:val="24"/>
          <w:szCs w:val="24"/>
        </w:rPr>
        <w:t xml:space="preserve">w zakresie warunków i jakości życia w Polsce w porównaniu do krajów Unii Europejskiej, </w:t>
      </w:r>
      <w:r w:rsidR="008379C2">
        <w:rPr>
          <w:rFonts w:ascii="Times New Roman" w:hAnsi="Times New Roman" w:cs="Times New Roman"/>
          <w:sz w:val="24"/>
          <w:szCs w:val="24"/>
        </w:rPr>
        <w:t xml:space="preserve">szczególnie tych, </w:t>
      </w:r>
      <w:r w:rsidR="00B92595">
        <w:rPr>
          <w:rFonts w:ascii="Times New Roman" w:hAnsi="Times New Roman" w:cs="Times New Roman"/>
          <w:sz w:val="24"/>
          <w:szCs w:val="24"/>
        </w:rPr>
        <w:t>które były we wspólnocie przed 2004 r.</w:t>
      </w:r>
      <w:r w:rsidR="006602C6">
        <w:rPr>
          <w:rFonts w:ascii="Times New Roman" w:hAnsi="Times New Roman" w:cs="Times New Roman"/>
          <w:sz w:val="24"/>
          <w:szCs w:val="24"/>
        </w:rPr>
        <w:t xml:space="preserve"> – wskaźnik </w:t>
      </w:r>
      <w:proofErr w:type="spellStart"/>
      <w:r w:rsidR="00A26B02">
        <w:rPr>
          <w:rFonts w:ascii="Times New Roman" w:hAnsi="Times New Roman" w:cs="Times New Roman"/>
          <w:i/>
          <w:iCs/>
          <w:sz w:val="24"/>
          <w:szCs w:val="24"/>
        </w:rPr>
        <w:t>catch-up</w:t>
      </w:r>
      <w:proofErr w:type="spellEnd"/>
      <w:r w:rsidR="00A26B02">
        <w:rPr>
          <w:rFonts w:ascii="Times New Roman" w:hAnsi="Times New Roman" w:cs="Times New Roman"/>
          <w:i/>
          <w:iCs/>
          <w:sz w:val="24"/>
          <w:szCs w:val="24"/>
        </w:rPr>
        <w:t xml:space="preserve"> </w:t>
      </w:r>
      <w:r w:rsidR="00A26B02">
        <w:rPr>
          <w:rFonts w:ascii="Times New Roman" w:hAnsi="Times New Roman" w:cs="Times New Roman"/>
          <w:sz w:val="24"/>
          <w:szCs w:val="24"/>
        </w:rPr>
        <w:t>wrócił do poziomu z 2020 r.</w:t>
      </w:r>
    </w:p>
    <w:p w14:paraId="3C9E0455" w14:textId="570F448A" w:rsidR="0060439C" w:rsidRPr="0060439C" w:rsidRDefault="00B92595" w:rsidP="0043132A">
      <w:pPr>
        <w:spacing w:line="360" w:lineRule="auto"/>
        <w:jc w:val="both"/>
        <w:rPr>
          <w:rFonts w:ascii="Times New Roman" w:hAnsi="Times New Roman" w:cs="Times New Roman"/>
          <w:sz w:val="24"/>
          <w:szCs w:val="24"/>
        </w:rPr>
      </w:pPr>
      <w:r>
        <w:rPr>
          <w:rFonts w:ascii="Times New Roman" w:hAnsi="Times New Roman" w:cs="Times New Roman"/>
          <w:sz w:val="24"/>
          <w:szCs w:val="24"/>
        </w:rPr>
        <w:t>Widoczne jest zróżnicowanie</w:t>
      </w:r>
      <w:r w:rsidR="0060439C">
        <w:rPr>
          <w:rFonts w:ascii="Times New Roman" w:hAnsi="Times New Roman" w:cs="Times New Roman"/>
          <w:sz w:val="24"/>
          <w:szCs w:val="24"/>
        </w:rPr>
        <w:t xml:space="preserve"> dynamiki zmian w analizowanych wymiarach warunków życia w Polsce w porównaniu do krajów Unii Europejskiej. </w:t>
      </w:r>
      <w:r w:rsidR="00C6563D">
        <w:rPr>
          <w:rFonts w:ascii="Times New Roman" w:hAnsi="Times New Roman" w:cs="Times New Roman"/>
          <w:sz w:val="24"/>
          <w:szCs w:val="24"/>
        </w:rPr>
        <w:t xml:space="preserve">Znaczący dystans utrzymuje się szczególnie w obszarach edukacji, </w:t>
      </w:r>
      <w:r w:rsidR="009C059D">
        <w:rPr>
          <w:rFonts w:ascii="Times New Roman" w:hAnsi="Times New Roman" w:cs="Times New Roman"/>
          <w:sz w:val="24"/>
          <w:szCs w:val="24"/>
        </w:rPr>
        <w:t xml:space="preserve">ochrony </w:t>
      </w:r>
      <w:r w:rsidR="00A52791">
        <w:rPr>
          <w:rFonts w:ascii="Times New Roman" w:hAnsi="Times New Roman" w:cs="Times New Roman"/>
          <w:sz w:val="24"/>
          <w:szCs w:val="24"/>
        </w:rPr>
        <w:t xml:space="preserve">środowiska, </w:t>
      </w:r>
      <w:r w:rsidR="00445AE6">
        <w:rPr>
          <w:rFonts w:ascii="Times New Roman" w:hAnsi="Times New Roman" w:cs="Times New Roman"/>
          <w:sz w:val="24"/>
          <w:szCs w:val="24"/>
        </w:rPr>
        <w:t xml:space="preserve">oraz </w:t>
      </w:r>
      <w:r w:rsidR="009C059D">
        <w:rPr>
          <w:rFonts w:ascii="Times New Roman" w:hAnsi="Times New Roman" w:cs="Times New Roman"/>
          <w:sz w:val="24"/>
          <w:szCs w:val="24"/>
        </w:rPr>
        <w:t xml:space="preserve">transportu i </w:t>
      </w:r>
      <w:r w:rsidR="00C6563D">
        <w:rPr>
          <w:rFonts w:ascii="Times New Roman" w:hAnsi="Times New Roman" w:cs="Times New Roman"/>
          <w:sz w:val="24"/>
          <w:szCs w:val="24"/>
        </w:rPr>
        <w:t>infrastruktury</w:t>
      </w:r>
      <w:r w:rsidR="00445AE6">
        <w:rPr>
          <w:rFonts w:ascii="Times New Roman" w:hAnsi="Times New Roman" w:cs="Times New Roman"/>
          <w:sz w:val="24"/>
          <w:szCs w:val="24"/>
        </w:rPr>
        <w:t>.</w:t>
      </w:r>
      <w:r w:rsidR="00927916">
        <w:rPr>
          <w:rFonts w:ascii="Times New Roman" w:hAnsi="Times New Roman" w:cs="Times New Roman"/>
          <w:sz w:val="24"/>
          <w:szCs w:val="24"/>
        </w:rPr>
        <w:t xml:space="preserve"> W obszarach rynk</w:t>
      </w:r>
      <w:r w:rsidR="006602C6">
        <w:rPr>
          <w:rFonts w:ascii="Times New Roman" w:hAnsi="Times New Roman" w:cs="Times New Roman"/>
          <w:sz w:val="24"/>
          <w:szCs w:val="24"/>
        </w:rPr>
        <w:t>u</w:t>
      </w:r>
      <w:r w:rsidR="00927916">
        <w:rPr>
          <w:rFonts w:ascii="Times New Roman" w:hAnsi="Times New Roman" w:cs="Times New Roman"/>
          <w:sz w:val="24"/>
          <w:szCs w:val="24"/>
        </w:rPr>
        <w:t xml:space="preserve"> pracy i </w:t>
      </w:r>
      <w:r w:rsidR="006602C6">
        <w:rPr>
          <w:rFonts w:ascii="Times New Roman" w:hAnsi="Times New Roman" w:cs="Times New Roman"/>
          <w:sz w:val="24"/>
          <w:szCs w:val="24"/>
        </w:rPr>
        <w:t xml:space="preserve">ochrony </w:t>
      </w:r>
      <w:r w:rsidR="00927916">
        <w:rPr>
          <w:rFonts w:ascii="Times New Roman" w:hAnsi="Times New Roman" w:cs="Times New Roman"/>
          <w:sz w:val="24"/>
          <w:szCs w:val="24"/>
        </w:rPr>
        <w:t xml:space="preserve">zdrowia sytuacja nie zmieniła się znacząco, widać natomiast poprawę w zakresie dochodów i deprywacji materialnej. </w:t>
      </w:r>
      <w:r w:rsidR="00177701">
        <w:rPr>
          <w:rFonts w:ascii="Times New Roman" w:hAnsi="Times New Roman" w:cs="Times New Roman"/>
          <w:sz w:val="24"/>
          <w:szCs w:val="24"/>
        </w:rPr>
        <w:t xml:space="preserve">W tym ostatnim obszarze Polska prezentuje się korzystnie na tle krajów Unii Europejskiej. </w:t>
      </w:r>
      <w:r w:rsidR="004F02B1">
        <w:rPr>
          <w:rFonts w:ascii="Times New Roman" w:hAnsi="Times New Roman" w:cs="Times New Roman"/>
          <w:sz w:val="24"/>
          <w:szCs w:val="24"/>
        </w:rPr>
        <w:t xml:space="preserve">Mały dystans dzieli nas także od krajów UE w obszarze warunków mieszkaniowych. </w:t>
      </w:r>
    </w:p>
    <w:p w14:paraId="63971597" w14:textId="15190D6B" w:rsidR="00CA747D" w:rsidRPr="00B824AA" w:rsidRDefault="00CA747D">
      <w:pPr>
        <w:rPr>
          <w:rFonts w:ascii="Times New Roman" w:hAnsi="Times New Roman" w:cs="Times New Roman"/>
          <w:sz w:val="24"/>
          <w:szCs w:val="24"/>
        </w:rPr>
      </w:pPr>
      <w:r w:rsidRPr="00B824AA">
        <w:rPr>
          <w:rFonts w:ascii="Times New Roman" w:hAnsi="Times New Roman" w:cs="Times New Roman"/>
          <w:sz w:val="24"/>
          <w:szCs w:val="24"/>
        </w:rPr>
        <w:br w:type="page"/>
      </w:r>
    </w:p>
    <w:p w14:paraId="481DC008" w14:textId="77777777" w:rsidR="00EA3005" w:rsidRPr="00B824AA" w:rsidRDefault="00EA3005" w:rsidP="0077028B">
      <w:pPr>
        <w:spacing w:line="360" w:lineRule="auto"/>
        <w:jc w:val="both"/>
        <w:rPr>
          <w:rFonts w:ascii="Times New Roman" w:hAnsi="Times New Roman" w:cs="Times New Roman"/>
          <w:sz w:val="24"/>
          <w:szCs w:val="24"/>
        </w:rPr>
      </w:pPr>
    </w:p>
    <w:p w14:paraId="3CCF09E2" w14:textId="1DC2B57A" w:rsidR="0012287C" w:rsidRPr="005B1B67" w:rsidRDefault="0012287C" w:rsidP="0012287C">
      <w:pPr>
        <w:pStyle w:val="Heading1"/>
        <w:rPr>
          <w:rFonts w:ascii="Times New Roman" w:hAnsi="Times New Roman" w:cs="Times New Roman"/>
          <w:sz w:val="36"/>
          <w:szCs w:val="36"/>
          <w:lang w:val="en-GB"/>
        </w:rPr>
      </w:pPr>
      <w:bookmarkStart w:id="14" w:name="_Toc162905470"/>
      <w:proofErr w:type="spellStart"/>
      <w:r w:rsidRPr="005B1B67">
        <w:rPr>
          <w:rFonts w:ascii="Times New Roman" w:hAnsi="Times New Roman" w:cs="Times New Roman"/>
          <w:sz w:val="36"/>
          <w:szCs w:val="36"/>
          <w:lang w:val="en-GB"/>
        </w:rPr>
        <w:t>Bibliografia</w:t>
      </w:r>
      <w:bookmarkEnd w:id="14"/>
      <w:proofErr w:type="spellEnd"/>
    </w:p>
    <w:p w14:paraId="43FBA822" w14:textId="77777777" w:rsidR="0094395D" w:rsidRDefault="0094395D" w:rsidP="00736A5E">
      <w:pPr>
        <w:ind w:left="567" w:hanging="567"/>
        <w:rPr>
          <w:rFonts w:ascii="Times New Roman" w:hAnsi="Times New Roman" w:cs="Times New Roman"/>
          <w:sz w:val="24"/>
          <w:szCs w:val="24"/>
          <w:lang w:val="en-GB"/>
        </w:rPr>
      </w:pPr>
    </w:p>
    <w:p w14:paraId="789A8F6A" w14:textId="5D417897" w:rsidR="0094395D" w:rsidRPr="0094395D" w:rsidRDefault="0094395D" w:rsidP="00736A5E">
      <w:pPr>
        <w:ind w:left="567" w:hanging="567"/>
        <w:rPr>
          <w:rFonts w:ascii="Times New Roman" w:hAnsi="Times New Roman" w:cs="Times New Roman"/>
          <w:sz w:val="24"/>
          <w:szCs w:val="24"/>
          <w:lang w:val="en-GB"/>
        </w:rPr>
      </w:pPr>
      <w:r w:rsidRPr="005B1B67">
        <w:rPr>
          <w:rFonts w:ascii="Times New Roman" w:hAnsi="Times New Roman" w:cs="Times New Roman"/>
          <w:color w:val="222222"/>
          <w:shd w:val="clear" w:color="auto" w:fill="FFFFFF"/>
          <w:lang w:val="en-GB"/>
        </w:rPr>
        <w:t xml:space="preserve">Chuang, PT. </w:t>
      </w:r>
      <w:r>
        <w:rPr>
          <w:rFonts w:ascii="Times New Roman" w:hAnsi="Times New Roman" w:cs="Times New Roman"/>
          <w:color w:val="222222"/>
          <w:shd w:val="clear" w:color="auto" w:fill="FFFFFF"/>
          <w:lang w:val="en-GB"/>
        </w:rPr>
        <w:t xml:space="preserve">(2001). </w:t>
      </w:r>
      <w:r w:rsidRPr="005B1B67">
        <w:rPr>
          <w:rFonts w:ascii="Times New Roman" w:hAnsi="Times New Roman" w:cs="Times New Roman"/>
          <w:color w:val="222222"/>
          <w:shd w:val="clear" w:color="auto" w:fill="FFFFFF"/>
          <w:lang w:val="en-GB"/>
        </w:rPr>
        <w:t>Combining the Analytic Hierarchy Process and Quality Function Deployment for a Location Decision from a Requirement Perspective. </w:t>
      </w:r>
      <w:r w:rsidRPr="005B1B67">
        <w:rPr>
          <w:rFonts w:ascii="Times New Roman" w:hAnsi="Times New Roman" w:cs="Times New Roman"/>
          <w:i/>
          <w:iCs/>
          <w:color w:val="222222"/>
          <w:shd w:val="clear" w:color="auto" w:fill="FFFFFF"/>
          <w:lang w:val="en-GB"/>
        </w:rPr>
        <w:t xml:space="preserve">Int J Adv </w:t>
      </w:r>
      <w:proofErr w:type="spellStart"/>
      <w:r w:rsidRPr="005B1B67">
        <w:rPr>
          <w:rFonts w:ascii="Times New Roman" w:hAnsi="Times New Roman" w:cs="Times New Roman"/>
          <w:i/>
          <w:iCs/>
          <w:color w:val="222222"/>
          <w:shd w:val="clear" w:color="auto" w:fill="FFFFFF"/>
          <w:lang w:val="en-GB"/>
        </w:rPr>
        <w:t>Manufa</w:t>
      </w:r>
      <w:proofErr w:type="spellEnd"/>
      <w:r w:rsidRPr="005B1B67">
        <w:rPr>
          <w:rFonts w:ascii="Times New Roman" w:hAnsi="Times New Roman" w:cs="Times New Roman"/>
          <w:i/>
          <w:iCs/>
          <w:color w:val="222222"/>
          <w:shd w:val="clear" w:color="auto" w:fill="FFFFFF"/>
          <w:lang w:val="en-GB"/>
        </w:rPr>
        <w:t xml:space="preserve"> </w:t>
      </w:r>
      <w:proofErr w:type="spellStart"/>
      <w:r w:rsidRPr="005B1B67">
        <w:rPr>
          <w:rFonts w:ascii="Times New Roman" w:hAnsi="Times New Roman" w:cs="Times New Roman"/>
          <w:i/>
          <w:iCs/>
          <w:color w:val="222222"/>
          <w:shd w:val="clear" w:color="auto" w:fill="FFFFFF"/>
          <w:lang w:val="en-GB"/>
        </w:rPr>
        <w:t>Technol</w:t>
      </w:r>
      <w:proofErr w:type="spellEnd"/>
      <w:r w:rsidRPr="005B1B67">
        <w:rPr>
          <w:rFonts w:ascii="Times New Roman" w:hAnsi="Times New Roman" w:cs="Times New Roman"/>
          <w:color w:val="222222"/>
          <w:shd w:val="clear" w:color="auto" w:fill="FFFFFF"/>
          <w:lang w:val="en-GB"/>
        </w:rPr>
        <w:t> </w:t>
      </w:r>
      <w:r w:rsidRPr="005B1B67">
        <w:rPr>
          <w:rFonts w:ascii="Times New Roman" w:hAnsi="Times New Roman" w:cs="Times New Roman"/>
          <w:b/>
          <w:bCs/>
          <w:color w:val="222222"/>
          <w:shd w:val="clear" w:color="auto" w:fill="FFFFFF"/>
          <w:lang w:val="en-GB"/>
        </w:rPr>
        <w:t>18</w:t>
      </w:r>
      <w:r w:rsidRPr="005B1B67">
        <w:rPr>
          <w:rFonts w:ascii="Times New Roman" w:hAnsi="Times New Roman" w:cs="Times New Roman"/>
          <w:color w:val="222222"/>
          <w:shd w:val="clear" w:color="auto" w:fill="FFFFFF"/>
          <w:lang w:val="en-GB"/>
        </w:rPr>
        <w:t>, 842–849</w:t>
      </w:r>
      <w:r>
        <w:rPr>
          <w:rFonts w:ascii="Times New Roman" w:hAnsi="Times New Roman" w:cs="Times New Roman"/>
          <w:color w:val="222222"/>
          <w:shd w:val="clear" w:color="auto" w:fill="FFFFFF"/>
          <w:lang w:val="en-GB"/>
        </w:rPr>
        <w:t>,</w:t>
      </w:r>
      <w:r w:rsidRPr="005B1B67">
        <w:rPr>
          <w:rFonts w:ascii="Times New Roman" w:hAnsi="Times New Roman" w:cs="Times New Roman"/>
          <w:color w:val="222222"/>
          <w:shd w:val="clear" w:color="auto" w:fill="FFFFFF"/>
          <w:lang w:val="en-GB"/>
        </w:rPr>
        <w:t xml:space="preserve"> https://doi.org/10.1007/s001700170010</w:t>
      </w:r>
    </w:p>
    <w:p w14:paraId="2CBBDEC0" w14:textId="06B21349" w:rsidR="00B824AA" w:rsidRDefault="00B824AA" w:rsidP="00736A5E">
      <w:pPr>
        <w:ind w:left="567" w:hanging="567"/>
        <w:rPr>
          <w:rFonts w:ascii="Times New Roman" w:hAnsi="Times New Roman" w:cs="Times New Roman"/>
          <w:sz w:val="24"/>
          <w:szCs w:val="24"/>
          <w:lang w:val="en-GB"/>
        </w:rPr>
      </w:pPr>
      <w:r w:rsidRPr="00B824AA">
        <w:rPr>
          <w:rFonts w:ascii="Times New Roman" w:hAnsi="Times New Roman" w:cs="Times New Roman"/>
          <w:sz w:val="24"/>
          <w:szCs w:val="24"/>
          <w:lang w:val="en-GB"/>
        </w:rPr>
        <w:t>Heckman, J.J. Invest in early childhood development: Reduce deficits, strengthen the economy. The Heckman Equation, 2012, 7.1-2.</w:t>
      </w:r>
    </w:p>
    <w:p w14:paraId="79D07ED3" w14:textId="6C2B052B" w:rsidR="00736A5E" w:rsidRPr="00B824AA" w:rsidRDefault="00736A5E" w:rsidP="00736A5E">
      <w:pPr>
        <w:ind w:left="567" w:hanging="567"/>
        <w:rPr>
          <w:rFonts w:ascii="Times New Roman" w:hAnsi="Times New Roman" w:cs="Times New Roman"/>
          <w:sz w:val="24"/>
          <w:szCs w:val="24"/>
          <w:lang w:val="en-GB"/>
        </w:rPr>
      </w:pPr>
      <w:proofErr w:type="spellStart"/>
      <w:r w:rsidRPr="00736A5E">
        <w:rPr>
          <w:rFonts w:ascii="Times New Roman" w:hAnsi="Times New Roman" w:cs="Times New Roman"/>
          <w:sz w:val="24"/>
          <w:szCs w:val="24"/>
          <w:lang w:val="en-GB"/>
        </w:rPr>
        <w:t>Komisja</w:t>
      </w:r>
      <w:proofErr w:type="spellEnd"/>
      <w:r w:rsidRPr="00736A5E">
        <w:rPr>
          <w:rFonts w:ascii="Times New Roman" w:hAnsi="Times New Roman" w:cs="Times New Roman"/>
          <w:sz w:val="24"/>
          <w:szCs w:val="24"/>
          <w:lang w:val="en-GB"/>
        </w:rPr>
        <w:t xml:space="preserve"> </w:t>
      </w:r>
      <w:proofErr w:type="spellStart"/>
      <w:r w:rsidRPr="00736A5E">
        <w:rPr>
          <w:rFonts w:ascii="Times New Roman" w:hAnsi="Times New Roman" w:cs="Times New Roman"/>
          <w:sz w:val="24"/>
          <w:szCs w:val="24"/>
          <w:lang w:val="en-GB"/>
        </w:rPr>
        <w:t>Europejska</w:t>
      </w:r>
      <w:proofErr w:type="spellEnd"/>
      <w:r w:rsidRPr="00736A5E">
        <w:rPr>
          <w:rFonts w:ascii="Times New Roman" w:hAnsi="Times New Roman" w:cs="Times New Roman"/>
          <w:sz w:val="24"/>
          <w:szCs w:val="24"/>
          <w:lang w:val="en-GB"/>
        </w:rPr>
        <w:t xml:space="preserve"> (2017) European Commission, Secretariat-General, European pillar of social rights, Publications Office of the European</w:t>
      </w:r>
      <w:r>
        <w:rPr>
          <w:rFonts w:ascii="Times New Roman" w:hAnsi="Times New Roman" w:cs="Times New Roman"/>
          <w:sz w:val="24"/>
          <w:szCs w:val="24"/>
          <w:lang w:val="en-GB"/>
        </w:rPr>
        <w:t xml:space="preserve"> </w:t>
      </w:r>
      <w:r w:rsidRPr="00736A5E">
        <w:rPr>
          <w:rFonts w:ascii="Times New Roman" w:hAnsi="Times New Roman" w:cs="Times New Roman"/>
          <w:sz w:val="24"/>
          <w:szCs w:val="24"/>
          <w:lang w:val="en-GB"/>
        </w:rPr>
        <w:t>Union,</w:t>
      </w:r>
      <w:r>
        <w:rPr>
          <w:rFonts w:ascii="Times New Roman" w:hAnsi="Times New Roman" w:cs="Times New Roman"/>
          <w:sz w:val="24"/>
          <w:szCs w:val="24"/>
          <w:lang w:val="en-GB"/>
        </w:rPr>
        <w:t xml:space="preserve"> </w:t>
      </w:r>
      <w:hyperlink r:id="rId27" w:history="1">
        <w:r w:rsidRPr="004F72AC">
          <w:rPr>
            <w:rStyle w:val="Hyperlink"/>
            <w:rFonts w:ascii="Times New Roman" w:hAnsi="Times New Roman" w:cs="Times New Roman"/>
            <w:sz w:val="24"/>
            <w:szCs w:val="24"/>
            <w:lang w:val="en-GB"/>
          </w:rPr>
          <w:t>https://data.europa.eu/doi/10.2792/95934 </w:t>
        </w:r>
      </w:hyperlink>
    </w:p>
    <w:p w14:paraId="16536384" w14:textId="49583F85" w:rsidR="00CA747D" w:rsidRPr="00B824AA" w:rsidRDefault="00AE1A22" w:rsidP="00B824AA">
      <w:pPr>
        <w:ind w:left="567" w:hanging="567"/>
        <w:rPr>
          <w:rFonts w:ascii="Times New Roman" w:hAnsi="Times New Roman" w:cs="Times New Roman"/>
          <w:sz w:val="24"/>
          <w:szCs w:val="24"/>
          <w:lang w:val="en-GB"/>
        </w:rPr>
      </w:pPr>
      <w:r w:rsidRPr="00B824AA">
        <w:rPr>
          <w:rFonts w:ascii="Times New Roman" w:hAnsi="Times New Roman" w:cs="Times New Roman"/>
          <w:sz w:val="24"/>
          <w:szCs w:val="24"/>
          <w:lang w:val="en-GB"/>
        </w:rPr>
        <w:t>Saaty, R.W.</w:t>
      </w:r>
      <w:r w:rsidR="006C6642">
        <w:rPr>
          <w:rFonts w:ascii="Times New Roman" w:hAnsi="Times New Roman" w:cs="Times New Roman"/>
          <w:sz w:val="24"/>
          <w:szCs w:val="24"/>
          <w:lang w:val="en-GB"/>
        </w:rPr>
        <w:t xml:space="preserve"> (</w:t>
      </w:r>
      <w:r w:rsidR="00CA747D" w:rsidRPr="00B824AA">
        <w:rPr>
          <w:rFonts w:ascii="Times New Roman" w:hAnsi="Times New Roman" w:cs="Times New Roman"/>
          <w:sz w:val="24"/>
          <w:szCs w:val="24"/>
          <w:lang w:val="en-GB"/>
        </w:rPr>
        <w:t>1980</w:t>
      </w:r>
      <w:r w:rsidR="006C6642">
        <w:rPr>
          <w:rFonts w:ascii="Times New Roman" w:hAnsi="Times New Roman" w:cs="Times New Roman"/>
          <w:sz w:val="24"/>
          <w:szCs w:val="24"/>
          <w:lang w:val="en-GB"/>
        </w:rPr>
        <w:t>)</w:t>
      </w:r>
      <w:r w:rsidRPr="00B824AA">
        <w:rPr>
          <w:rFonts w:ascii="Times New Roman" w:hAnsi="Times New Roman" w:cs="Times New Roman"/>
          <w:sz w:val="24"/>
          <w:szCs w:val="24"/>
          <w:lang w:val="en-GB"/>
        </w:rPr>
        <w:t xml:space="preserve">. The Analytic Hierarchy </w:t>
      </w:r>
      <w:proofErr w:type="spellStart"/>
      <w:r w:rsidRPr="00B824AA">
        <w:rPr>
          <w:rFonts w:ascii="Times New Roman" w:hAnsi="Times New Roman" w:cs="Times New Roman"/>
          <w:sz w:val="24"/>
          <w:szCs w:val="24"/>
          <w:lang w:val="en-GB"/>
        </w:rPr>
        <w:t>Process</w:t>
      </w:r>
      <w:r w:rsidRPr="00AE1A22">
        <w:rPr>
          <w:rFonts w:ascii="Times New Roman" w:hAnsi="Times New Roman" w:cs="Times New Roman"/>
          <w:sz w:val="24"/>
          <w:szCs w:val="24"/>
          <w:lang w:val="en-GB"/>
        </w:rPr>
        <w:t>McGraw</w:t>
      </w:r>
      <w:proofErr w:type="spellEnd"/>
      <w:r w:rsidRPr="00AE1A22">
        <w:rPr>
          <w:rFonts w:ascii="Times New Roman" w:hAnsi="Times New Roman" w:cs="Times New Roman"/>
          <w:sz w:val="24"/>
          <w:szCs w:val="24"/>
          <w:lang w:val="en-GB"/>
        </w:rPr>
        <w:t>-Hill, New York </w:t>
      </w:r>
    </w:p>
    <w:p w14:paraId="23BA4467" w14:textId="7B71ED81" w:rsidR="004C0C1F" w:rsidRPr="00B824AA" w:rsidRDefault="004C0C1F" w:rsidP="004C0C1F">
      <w:pPr>
        <w:ind w:left="567" w:hanging="567"/>
        <w:rPr>
          <w:rFonts w:ascii="Times New Roman" w:hAnsi="Times New Roman" w:cs="Times New Roman"/>
          <w:sz w:val="24"/>
          <w:szCs w:val="24"/>
          <w:highlight w:val="yellow"/>
          <w:lang w:val="en-GB"/>
        </w:rPr>
      </w:pPr>
      <w:r w:rsidRPr="00B824AA">
        <w:rPr>
          <w:rFonts w:ascii="Times New Roman" w:hAnsi="Times New Roman" w:cs="Times New Roman"/>
          <w:sz w:val="24"/>
          <w:szCs w:val="24"/>
          <w:lang w:val="en-GB"/>
        </w:rPr>
        <w:t xml:space="preserve">Saaty, R.W. (1987) The analytic hierarchy process—what it is and how it is used, Mathematical Modelling, Volume 9, Issues 3–5, s161-176, </w:t>
      </w:r>
      <w:hyperlink r:id="rId28" w:history="1">
        <w:r w:rsidRPr="00B824AA">
          <w:rPr>
            <w:rStyle w:val="Hyperlink"/>
            <w:rFonts w:ascii="Times New Roman" w:hAnsi="Times New Roman" w:cs="Times New Roman"/>
            <w:sz w:val="24"/>
            <w:szCs w:val="24"/>
            <w:lang w:val="en-GB"/>
          </w:rPr>
          <w:t>https://doi.org/10.1016/0270-0255(87)90473-8</w:t>
        </w:r>
      </w:hyperlink>
      <w:r w:rsidRPr="00B824AA">
        <w:rPr>
          <w:rFonts w:ascii="Times New Roman" w:hAnsi="Times New Roman" w:cs="Times New Roman"/>
          <w:sz w:val="24"/>
          <w:szCs w:val="24"/>
          <w:lang w:val="en-GB"/>
        </w:rPr>
        <w:t>.</w:t>
      </w:r>
      <w:r w:rsidRPr="00B824AA">
        <w:rPr>
          <w:rFonts w:ascii="Times New Roman" w:hAnsi="Times New Roman" w:cs="Times New Roman"/>
          <w:sz w:val="24"/>
          <w:szCs w:val="24"/>
          <w:highlight w:val="yellow"/>
          <w:lang w:val="en-GB"/>
        </w:rPr>
        <w:t xml:space="preserve"> </w:t>
      </w:r>
    </w:p>
    <w:p w14:paraId="7040B2BD" w14:textId="625A91C3" w:rsidR="00CA747D" w:rsidRPr="00B824AA" w:rsidRDefault="007C30F1" w:rsidP="007C30F1">
      <w:pPr>
        <w:ind w:left="567" w:hanging="567"/>
        <w:rPr>
          <w:rFonts w:ascii="Times New Roman" w:hAnsi="Times New Roman" w:cs="Times New Roman"/>
          <w:sz w:val="24"/>
          <w:szCs w:val="24"/>
        </w:rPr>
      </w:pPr>
      <w:r w:rsidRPr="00B824AA">
        <w:rPr>
          <w:rFonts w:ascii="Times New Roman" w:hAnsi="Times New Roman" w:cs="Times New Roman"/>
          <w:sz w:val="24"/>
          <w:szCs w:val="24"/>
        </w:rPr>
        <w:t>Strojny M. (red.) (2019) Europa Środkowo-Wschodniej wobec globalnych trendów: gospodarka, społeczeństwo i biznes, Oficyna Wydawnicza SGH, Warszawa.</w:t>
      </w:r>
    </w:p>
    <w:p w14:paraId="3B4040F7" w14:textId="11A6A5A6" w:rsidR="0012287C" w:rsidRPr="00B824AA" w:rsidRDefault="0012287C">
      <w:pPr>
        <w:rPr>
          <w:rFonts w:ascii="Times New Roman" w:hAnsi="Times New Roman" w:cs="Times New Roman"/>
        </w:rPr>
      </w:pPr>
      <w:r w:rsidRPr="00B824AA">
        <w:rPr>
          <w:rFonts w:ascii="Times New Roman" w:hAnsi="Times New Roman" w:cs="Times New Roman"/>
        </w:rPr>
        <w:br w:type="page"/>
      </w:r>
    </w:p>
    <w:p w14:paraId="300B5ED4" w14:textId="77777777" w:rsidR="0012287C" w:rsidRPr="00B824AA" w:rsidRDefault="0012287C" w:rsidP="0012287C">
      <w:pPr>
        <w:rPr>
          <w:rFonts w:ascii="Times New Roman" w:hAnsi="Times New Roman" w:cs="Times New Roman"/>
        </w:rPr>
      </w:pPr>
    </w:p>
    <w:p w14:paraId="2F4B29FF" w14:textId="031539EA" w:rsidR="0012287C" w:rsidRPr="00B824AA" w:rsidRDefault="0012287C" w:rsidP="0012287C">
      <w:pPr>
        <w:pStyle w:val="Heading1"/>
        <w:rPr>
          <w:rFonts w:ascii="Times New Roman" w:hAnsi="Times New Roman" w:cs="Times New Roman"/>
          <w:sz w:val="36"/>
          <w:szCs w:val="36"/>
        </w:rPr>
      </w:pPr>
      <w:bookmarkStart w:id="15" w:name="_Toc162905471"/>
      <w:r w:rsidRPr="00B824AA">
        <w:rPr>
          <w:rFonts w:ascii="Times New Roman" w:hAnsi="Times New Roman" w:cs="Times New Roman"/>
          <w:sz w:val="36"/>
          <w:szCs w:val="36"/>
        </w:rPr>
        <w:t>Aneks</w:t>
      </w:r>
      <w:bookmarkEnd w:id="15"/>
    </w:p>
    <w:p w14:paraId="201060C8" w14:textId="2B286C9C" w:rsidR="00560B50" w:rsidRPr="00B824AA" w:rsidRDefault="00560B50" w:rsidP="00560B50">
      <w:pPr>
        <w:spacing w:line="360" w:lineRule="auto"/>
        <w:jc w:val="both"/>
        <w:rPr>
          <w:rFonts w:ascii="Times New Roman" w:hAnsi="Times New Roman" w:cs="Times New Roman"/>
          <w:i/>
          <w:iCs/>
          <w:sz w:val="24"/>
          <w:szCs w:val="24"/>
        </w:rPr>
      </w:pPr>
      <w:r w:rsidRPr="00B824AA">
        <w:rPr>
          <w:rFonts w:ascii="Times New Roman" w:hAnsi="Times New Roman" w:cs="Times New Roman"/>
          <w:i/>
          <w:iCs/>
          <w:sz w:val="24"/>
          <w:szCs w:val="24"/>
        </w:rPr>
        <w:t xml:space="preserve">Tabela </w:t>
      </w:r>
      <w:r w:rsidR="0012287C" w:rsidRPr="00B824AA">
        <w:rPr>
          <w:rFonts w:ascii="Times New Roman" w:hAnsi="Times New Roman" w:cs="Times New Roman"/>
          <w:i/>
          <w:iCs/>
          <w:sz w:val="24"/>
          <w:szCs w:val="24"/>
        </w:rPr>
        <w:t>A.1.</w:t>
      </w:r>
      <w:r w:rsidRPr="00B824AA">
        <w:rPr>
          <w:rFonts w:ascii="Times New Roman" w:hAnsi="Times New Roman" w:cs="Times New Roman"/>
          <w:i/>
          <w:iCs/>
          <w:sz w:val="24"/>
          <w:szCs w:val="24"/>
        </w:rPr>
        <w:t xml:space="preserve"> Definicje wskaźników cząstkowych.</w:t>
      </w:r>
    </w:p>
    <w:tbl>
      <w:tblPr>
        <w:tblStyle w:val="TableGrid"/>
        <w:tblW w:w="0" w:type="auto"/>
        <w:tblInd w:w="0" w:type="dxa"/>
        <w:tblLook w:val="04A0" w:firstRow="1" w:lastRow="0" w:firstColumn="1" w:lastColumn="0" w:noHBand="0" w:noVBand="1"/>
      </w:tblPr>
      <w:tblGrid>
        <w:gridCol w:w="2263"/>
        <w:gridCol w:w="6799"/>
      </w:tblGrid>
      <w:tr w:rsidR="00560B50" w:rsidRPr="00B824AA" w14:paraId="6B3D9C0F" w14:textId="77777777" w:rsidTr="00560B50">
        <w:tc>
          <w:tcPr>
            <w:tcW w:w="2263" w:type="dxa"/>
            <w:tcBorders>
              <w:top w:val="single" w:sz="4" w:space="0" w:color="auto"/>
              <w:left w:val="single" w:sz="4" w:space="0" w:color="auto"/>
              <w:bottom w:val="single" w:sz="4" w:space="0" w:color="auto"/>
              <w:right w:val="single" w:sz="4" w:space="0" w:color="auto"/>
            </w:tcBorders>
            <w:vAlign w:val="center"/>
            <w:hideMark/>
          </w:tcPr>
          <w:p w14:paraId="2F5D9C3E" w14:textId="1CFE08B1" w:rsidR="00560B50" w:rsidRPr="00B824AA" w:rsidRDefault="0012287C">
            <w:pPr>
              <w:jc w:val="center"/>
              <w:rPr>
                <w:rFonts w:ascii="Times New Roman" w:hAnsi="Times New Roman" w:cs="Times New Roman"/>
                <w:b/>
                <w:bCs/>
              </w:rPr>
            </w:pPr>
            <w:r w:rsidRPr="00B824AA">
              <w:rPr>
                <w:rFonts w:ascii="Times New Roman" w:hAnsi="Times New Roman" w:cs="Times New Roman"/>
                <w:b/>
                <w:bCs/>
              </w:rPr>
              <w:t>Wymiary</w:t>
            </w:r>
            <w:r w:rsidR="00560B50" w:rsidRPr="00B824AA">
              <w:rPr>
                <w:rFonts w:ascii="Times New Roman" w:hAnsi="Times New Roman" w:cs="Times New Roman"/>
                <w:b/>
                <w:bCs/>
              </w:rPr>
              <w:t xml:space="preserve"> i wskaźniki cząstkowe</w:t>
            </w:r>
          </w:p>
        </w:tc>
        <w:tc>
          <w:tcPr>
            <w:tcW w:w="6799" w:type="dxa"/>
            <w:tcBorders>
              <w:top w:val="single" w:sz="4" w:space="0" w:color="auto"/>
              <w:left w:val="single" w:sz="4" w:space="0" w:color="auto"/>
              <w:bottom w:val="single" w:sz="4" w:space="0" w:color="auto"/>
              <w:right w:val="single" w:sz="4" w:space="0" w:color="auto"/>
            </w:tcBorders>
            <w:vAlign w:val="center"/>
            <w:hideMark/>
          </w:tcPr>
          <w:p w14:paraId="353FCA38" w14:textId="77777777" w:rsidR="00560B50" w:rsidRPr="00B824AA" w:rsidRDefault="00560B50">
            <w:pPr>
              <w:jc w:val="center"/>
              <w:rPr>
                <w:rFonts w:ascii="Times New Roman" w:hAnsi="Times New Roman" w:cs="Times New Roman"/>
                <w:b/>
                <w:bCs/>
              </w:rPr>
            </w:pPr>
            <w:r w:rsidRPr="00B824AA">
              <w:rPr>
                <w:rFonts w:ascii="Times New Roman" w:hAnsi="Times New Roman" w:cs="Times New Roman"/>
                <w:b/>
                <w:bCs/>
              </w:rPr>
              <w:t>Definicje wskaźników cząstkowych</w:t>
            </w:r>
          </w:p>
        </w:tc>
      </w:tr>
      <w:tr w:rsidR="00560B50" w:rsidRPr="00B824AA" w14:paraId="6112D8F9" w14:textId="77777777" w:rsidTr="00560B50">
        <w:tc>
          <w:tcPr>
            <w:tcW w:w="2263" w:type="dxa"/>
            <w:tcBorders>
              <w:top w:val="single" w:sz="4" w:space="0" w:color="auto"/>
              <w:left w:val="single" w:sz="4" w:space="0" w:color="auto"/>
              <w:bottom w:val="single" w:sz="4" w:space="0" w:color="auto"/>
              <w:right w:val="single" w:sz="4" w:space="0" w:color="auto"/>
            </w:tcBorders>
          </w:tcPr>
          <w:p w14:paraId="3598E3DC" w14:textId="77777777" w:rsidR="00560B50" w:rsidRPr="00B824AA" w:rsidRDefault="00560B50">
            <w:pPr>
              <w:ind w:firstLine="174"/>
              <w:rPr>
                <w:rFonts w:ascii="Times New Roman" w:hAnsi="Times New Roman" w:cs="Times New Roman"/>
                <w:b/>
                <w:bCs/>
              </w:rPr>
            </w:pPr>
            <w:r w:rsidRPr="00B824AA">
              <w:rPr>
                <w:rFonts w:ascii="Times New Roman" w:hAnsi="Times New Roman" w:cs="Times New Roman"/>
                <w:b/>
                <w:bCs/>
              </w:rPr>
              <w:t>Dochody i deprywacja materialna</w:t>
            </w:r>
          </w:p>
          <w:p w14:paraId="456A44DD" w14:textId="77777777" w:rsidR="00560B50" w:rsidRPr="00B824AA" w:rsidRDefault="00560B50">
            <w:pPr>
              <w:ind w:firstLine="174"/>
              <w:rPr>
                <w:rFonts w:ascii="Times New Roman" w:hAnsi="Times New Roman" w:cs="Times New Roman"/>
                <w:b/>
                <w:bCs/>
              </w:rPr>
            </w:pPr>
          </w:p>
          <w:p w14:paraId="18E0B93D"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 xml:space="preserve">X1.1 Dochody </w:t>
            </w:r>
          </w:p>
          <w:p w14:paraId="002F22AB" w14:textId="77777777" w:rsidR="00560B50" w:rsidRPr="00B824AA" w:rsidRDefault="00560B50">
            <w:pPr>
              <w:rPr>
                <w:rFonts w:ascii="Times New Roman" w:hAnsi="Times New Roman" w:cs="Times New Roman"/>
              </w:rPr>
            </w:pPr>
          </w:p>
          <w:p w14:paraId="2B51B4DE" w14:textId="77777777" w:rsidR="00560B50" w:rsidRPr="00B824AA" w:rsidRDefault="00560B50">
            <w:pPr>
              <w:ind w:firstLine="174"/>
              <w:rPr>
                <w:rFonts w:ascii="Times New Roman" w:hAnsi="Times New Roman" w:cs="Times New Roman"/>
              </w:rPr>
            </w:pPr>
          </w:p>
          <w:p w14:paraId="78946BB5" w14:textId="77777777" w:rsidR="00560B50" w:rsidRPr="00B824AA" w:rsidRDefault="00560B50">
            <w:pPr>
              <w:ind w:firstLine="174"/>
              <w:rPr>
                <w:rFonts w:ascii="Times New Roman" w:hAnsi="Times New Roman" w:cs="Times New Roman"/>
              </w:rPr>
            </w:pPr>
          </w:p>
          <w:p w14:paraId="70F4FCC8" w14:textId="77777777" w:rsidR="00560B50" w:rsidRPr="00B824AA" w:rsidRDefault="00560B50">
            <w:pPr>
              <w:ind w:firstLine="174"/>
              <w:rPr>
                <w:rFonts w:ascii="Times New Roman" w:hAnsi="Times New Roman" w:cs="Times New Roman"/>
              </w:rPr>
            </w:pPr>
          </w:p>
          <w:p w14:paraId="01927295" w14:textId="77777777" w:rsidR="00560B50" w:rsidRPr="00B824AA" w:rsidRDefault="00560B50">
            <w:pPr>
              <w:ind w:firstLine="174"/>
              <w:rPr>
                <w:rFonts w:ascii="Times New Roman" w:hAnsi="Times New Roman" w:cs="Times New Roman"/>
              </w:rPr>
            </w:pPr>
          </w:p>
          <w:p w14:paraId="6A425D39" w14:textId="77777777" w:rsidR="00560B50" w:rsidRPr="00B824AA" w:rsidRDefault="00560B50">
            <w:pPr>
              <w:ind w:firstLine="174"/>
              <w:rPr>
                <w:rFonts w:ascii="Times New Roman" w:hAnsi="Times New Roman" w:cs="Times New Roman"/>
              </w:rPr>
            </w:pPr>
          </w:p>
          <w:p w14:paraId="0EFF3C29" w14:textId="77777777" w:rsidR="00560B50" w:rsidRPr="00B824AA" w:rsidRDefault="00560B50">
            <w:pPr>
              <w:ind w:firstLine="174"/>
              <w:rPr>
                <w:rFonts w:ascii="Times New Roman" w:hAnsi="Times New Roman" w:cs="Times New Roman"/>
              </w:rPr>
            </w:pPr>
          </w:p>
          <w:p w14:paraId="70B3B7C6" w14:textId="77777777" w:rsidR="00560B50" w:rsidRPr="00B824AA" w:rsidRDefault="00560B50">
            <w:pPr>
              <w:ind w:firstLine="174"/>
              <w:rPr>
                <w:rFonts w:ascii="Times New Roman" w:hAnsi="Times New Roman" w:cs="Times New Roman"/>
              </w:rPr>
            </w:pPr>
          </w:p>
          <w:p w14:paraId="399E20B0" w14:textId="77777777" w:rsidR="00560B50" w:rsidRPr="00B824AA" w:rsidRDefault="00560B50">
            <w:pPr>
              <w:ind w:firstLine="174"/>
              <w:rPr>
                <w:rFonts w:ascii="Times New Roman" w:hAnsi="Times New Roman" w:cs="Times New Roman"/>
              </w:rPr>
            </w:pPr>
          </w:p>
          <w:p w14:paraId="0258E039" w14:textId="77777777" w:rsidR="00560B50" w:rsidRPr="00B824AA" w:rsidRDefault="00560B50">
            <w:pPr>
              <w:ind w:firstLine="174"/>
              <w:rPr>
                <w:rFonts w:ascii="Times New Roman" w:hAnsi="Times New Roman" w:cs="Times New Roman"/>
              </w:rPr>
            </w:pPr>
          </w:p>
          <w:p w14:paraId="269EADD8" w14:textId="77777777" w:rsidR="00560B50" w:rsidRPr="00B824AA" w:rsidRDefault="00560B50">
            <w:pPr>
              <w:ind w:firstLine="174"/>
              <w:rPr>
                <w:rFonts w:ascii="Times New Roman" w:hAnsi="Times New Roman" w:cs="Times New Roman"/>
              </w:rPr>
            </w:pPr>
          </w:p>
          <w:p w14:paraId="308007B8" w14:textId="77777777" w:rsidR="00560B50" w:rsidRPr="00B824AA" w:rsidRDefault="00560B50">
            <w:pPr>
              <w:ind w:firstLine="174"/>
              <w:rPr>
                <w:rFonts w:ascii="Times New Roman" w:hAnsi="Times New Roman" w:cs="Times New Roman"/>
              </w:rPr>
            </w:pPr>
          </w:p>
          <w:p w14:paraId="3AB4FCEE" w14:textId="77777777" w:rsidR="00560B50" w:rsidRPr="00B824AA" w:rsidRDefault="00560B50">
            <w:pPr>
              <w:ind w:firstLine="174"/>
              <w:rPr>
                <w:rFonts w:ascii="Times New Roman" w:hAnsi="Times New Roman" w:cs="Times New Roman"/>
              </w:rPr>
            </w:pPr>
          </w:p>
          <w:p w14:paraId="4C57FD31" w14:textId="77777777" w:rsidR="00560B50" w:rsidRPr="00B824AA" w:rsidRDefault="00560B50">
            <w:pPr>
              <w:ind w:firstLine="174"/>
              <w:rPr>
                <w:rFonts w:ascii="Times New Roman" w:hAnsi="Times New Roman" w:cs="Times New Roman"/>
              </w:rPr>
            </w:pPr>
          </w:p>
          <w:p w14:paraId="66992C9F" w14:textId="77777777" w:rsidR="00560B50" w:rsidRPr="00B824AA" w:rsidRDefault="00560B50">
            <w:pPr>
              <w:ind w:firstLine="174"/>
              <w:rPr>
                <w:rFonts w:ascii="Times New Roman" w:hAnsi="Times New Roman" w:cs="Times New Roman"/>
              </w:rPr>
            </w:pPr>
          </w:p>
          <w:p w14:paraId="1D51B837" w14:textId="77777777" w:rsidR="00560B50" w:rsidRPr="00B824AA" w:rsidRDefault="00560B50">
            <w:pPr>
              <w:ind w:firstLine="174"/>
              <w:rPr>
                <w:rFonts w:ascii="Times New Roman" w:hAnsi="Times New Roman" w:cs="Times New Roman"/>
              </w:rPr>
            </w:pPr>
          </w:p>
          <w:p w14:paraId="6314D166" w14:textId="77777777" w:rsidR="00560B50" w:rsidRPr="00B824AA" w:rsidRDefault="00560B50">
            <w:pPr>
              <w:ind w:firstLine="174"/>
              <w:rPr>
                <w:rFonts w:ascii="Times New Roman" w:hAnsi="Times New Roman" w:cs="Times New Roman"/>
              </w:rPr>
            </w:pPr>
          </w:p>
          <w:p w14:paraId="30B21178" w14:textId="77777777" w:rsidR="00560B50" w:rsidRPr="00B824AA" w:rsidRDefault="00560B50">
            <w:pPr>
              <w:ind w:firstLine="174"/>
              <w:rPr>
                <w:rFonts w:ascii="Times New Roman" w:hAnsi="Times New Roman" w:cs="Times New Roman"/>
              </w:rPr>
            </w:pPr>
          </w:p>
          <w:p w14:paraId="3A54F326" w14:textId="77777777" w:rsidR="00560B50" w:rsidRPr="00B824AA" w:rsidRDefault="00560B50">
            <w:pPr>
              <w:ind w:firstLine="174"/>
              <w:rPr>
                <w:rFonts w:ascii="Times New Roman" w:hAnsi="Times New Roman" w:cs="Times New Roman"/>
              </w:rPr>
            </w:pPr>
          </w:p>
          <w:p w14:paraId="6800C860" w14:textId="77777777" w:rsidR="00560B50" w:rsidRPr="00B824AA" w:rsidRDefault="00560B50">
            <w:pPr>
              <w:ind w:firstLine="174"/>
              <w:rPr>
                <w:rFonts w:ascii="Times New Roman" w:hAnsi="Times New Roman" w:cs="Times New Roman"/>
              </w:rPr>
            </w:pPr>
          </w:p>
          <w:p w14:paraId="01140756" w14:textId="77777777" w:rsidR="00560B50" w:rsidRPr="00B824AA" w:rsidRDefault="00560B50">
            <w:pPr>
              <w:ind w:firstLine="174"/>
              <w:rPr>
                <w:rFonts w:ascii="Times New Roman" w:hAnsi="Times New Roman" w:cs="Times New Roman"/>
              </w:rPr>
            </w:pPr>
          </w:p>
          <w:p w14:paraId="7490414F" w14:textId="77777777" w:rsidR="0012287C" w:rsidRPr="00B824AA" w:rsidRDefault="0012287C" w:rsidP="003946AA">
            <w:pPr>
              <w:rPr>
                <w:rFonts w:ascii="Times New Roman" w:hAnsi="Times New Roman" w:cs="Times New Roman"/>
              </w:rPr>
            </w:pPr>
          </w:p>
          <w:p w14:paraId="29B97518" w14:textId="77777777" w:rsidR="00560B50" w:rsidRPr="00B824AA" w:rsidRDefault="00560B50" w:rsidP="0012287C">
            <w:pPr>
              <w:rPr>
                <w:rFonts w:ascii="Times New Roman" w:hAnsi="Times New Roman" w:cs="Times New Roman"/>
              </w:rPr>
            </w:pPr>
          </w:p>
          <w:p w14:paraId="4ACDD06B"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X1.2 Deprywacja   materialna</w:t>
            </w:r>
          </w:p>
        </w:tc>
        <w:tc>
          <w:tcPr>
            <w:tcW w:w="6799" w:type="dxa"/>
            <w:tcBorders>
              <w:top w:val="single" w:sz="4" w:space="0" w:color="auto"/>
              <w:left w:val="single" w:sz="4" w:space="0" w:color="auto"/>
              <w:bottom w:val="single" w:sz="4" w:space="0" w:color="auto"/>
              <w:right w:val="single" w:sz="4" w:space="0" w:color="auto"/>
            </w:tcBorders>
          </w:tcPr>
          <w:p w14:paraId="54C16346" w14:textId="77777777" w:rsidR="00560B50" w:rsidRPr="00B824AA" w:rsidRDefault="00560B50" w:rsidP="003946AA">
            <w:pPr>
              <w:jc w:val="both"/>
              <w:rPr>
                <w:rFonts w:ascii="Times New Roman" w:hAnsi="Times New Roman" w:cs="Times New Roman"/>
              </w:rPr>
            </w:pPr>
          </w:p>
          <w:p w14:paraId="1A0A5C6F" w14:textId="77777777" w:rsidR="00560B50" w:rsidRPr="00B824AA" w:rsidRDefault="00560B50" w:rsidP="003946AA">
            <w:pPr>
              <w:jc w:val="both"/>
              <w:rPr>
                <w:rFonts w:ascii="Times New Roman" w:hAnsi="Times New Roman" w:cs="Times New Roman"/>
              </w:rPr>
            </w:pPr>
          </w:p>
          <w:p w14:paraId="1A88C64C" w14:textId="77777777" w:rsidR="00560B50" w:rsidRPr="00B824AA" w:rsidRDefault="00560B50" w:rsidP="003946AA">
            <w:pPr>
              <w:jc w:val="both"/>
              <w:rPr>
                <w:rFonts w:ascii="Times New Roman" w:hAnsi="Times New Roman" w:cs="Times New Roman"/>
              </w:rPr>
            </w:pPr>
          </w:p>
          <w:p w14:paraId="1DFCDF95" w14:textId="77777777" w:rsidR="004F0D12" w:rsidRDefault="004F0D12" w:rsidP="003946AA">
            <w:pPr>
              <w:jc w:val="both"/>
              <w:rPr>
                <w:rFonts w:ascii="Times New Roman" w:hAnsi="Times New Roman" w:cs="Times New Roman"/>
              </w:rPr>
            </w:pPr>
          </w:p>
          <w:p w14:paraId="0C2C1F63" w14:textId="73F87712" w:rsidR="00560B50" w:rsidRPr="00B824AA" w:rsidRDefault="00560B50" w:rsidP="003946AA">
            <w:pPr>
              <w:jc w:val="both"/>
              <w:rPr>
                <w:rFonts w:ascii="Times New Roman" w:hAnsi="Times New Roman" w:cs="Times New Roman"/>
                <w:sz w:val="24"/>
                <w:szCs w:val="24"/>
              </w:rPr>
            </w:pPr>
            <w:r w:rsidRPr="00B824AA">
              <w:rPr>
                <w:rFonts w:ascii="Times New Roman" w:hAnsi="Times New Roman" w:cs="Times New Roman"/>
              </w:rPr>
              <w:t>Mediana przeciętnego rocznego ekwiwalentnego dochodu do dyspozycji gospodarstw domowych wyrażana w PPS (</w:t>
            </w:r>
            <w:proofErr w:type="spellStart"/>
            <w:r w:rsidRPr="00B824AA">
              <w:rPr>
                <w:rFonts w:ascii="Times New Roman" w:hAnsi="Times New Roman" w:cs="Times New Roman"/>
              </w:rPr>
              <w:t>Purchasing</w:t>
            </w:r>
            <w:proofErr w:type="spellEnd"/>
            <w:r w:rsidRPr="00B824AA">
              <w:rPr>
                <w:rFonts w:ascii="Times New Roman" w:hAnsi="Times New Roman" w:cs="Times New Roman"/>
              </w:rPr>
              <w:t xml:space="preserve"> Power </w:t>
            </w:r>
            <w:proofErr w:type="spellStart"/>
            <w:r w:rsidRPr="00B824AA">
              <w:rPr>
                <w:rFonts w:ascii="Times New Roman" w:hAnsi="Times New Roman" w:cs="Times New Roman"/>
              </w:rPr>
              <w:t>Parity</w:t>
            </w:r>
            <w:proofErr w:type="spellEnd"/>
            <w:r w:rsidRPr="00B824AA">
              <w:rPr>
                <w:rFonts w:ascii="Times New Roman" w:hAnsi="Times New Roman" w:cs="Times New Roman"/>
              </w:rPr>
              <w:t xml:space="preserve"> , czyli Standardzie Siły Nabywczej). </w:t>
            </w:r>
            <w:r w:rsidRPr="00B824AA">
              <w:rPr>
                <w:rFonts w:ascii="Times New Roman" w:hAnsi="Times New Roman" w:cs="Times New Roman"/>
                <w:sz w:val="24"/>
                <w:szCs w:val="24"/>
              </w:rPr>
              <w:t>Ekwiwalentny dochód do dyspozycji to całkowity dochód gospodarstwa domowego, po opodatkowaniu i innych odliczeniach, który można przeznaczyć na wydatki lub oszczędności, podzielony przez liczbę członków gospodarstwa domowego w przeliczeniu na równoważne osoby dorosłe; członków gospodarstwa domowego czyni się równoważnymi przez ważenie każdego z nich według ich wieku, stosując tzw. zmodyfikowaną skalę równoważności OECD. Skala ta przypisuje wagę wszystkim członkom gospodarstwa domowego (a następnie sumuje je, aby uzyskać równoważną wielkość gospodarstwa) w następujący sposób:</w:t>
            </w:r>
          </w:p>
          <w:p w14:paraId="13BCE146" w14:textId="77777777" w:rsidR="00560B50" w:rsidRPr="00B824AA" w:rsidRDefault="00560B50" w:rsidP="003946AA">
            <w:pPr>
              <w:jc w:val="both"/>
              <w:rPr>
                <w:rFonts w:ascii="Times New Roman" w:hAnsi="Times New Roman" w:cs="Times New Roman"/>
                <w:sz w:val="24"/>
                <w:szCs w:val="24"/>
              </w:rPr>
            </w:pPr>
            <w:r w:rsidRPr="00B824AA">
              <w:rPr>
                <w:rFonts w:ascii="Times New Roman" w:hAnsi="Times New Roman" w:cs="Times New Roman"/>
                <w:sz w:val="24"/>
                <w:szCs w:val="24"/>
              </w:rPr>
              <w:t xml:space="preserve">        1,0 dla pierwszej osoby dorosłej;</w:t>
            </w:r>
          </w:p>
          <w:p w14:paraId="501AF8C5" w14:textId="77777777" w:rsidR="00560B50" w:rsidRPr="00B824AA" w:rsidRDefault="00560B50" w:rsidP="003946AA">
            <w:pPr>
              <w:jc w:val="both"/>
              <w:rPr>
                <w:rFonts w:ascii="Times New Roman" w:hAnsi="Times New Roman" w:cs="Times New Roman"/>
                <w:sz w:val="24"/>
                <w:szCs w:val="24"/>
              </w:rPr>
            </w:pPr>
            <w:r w:rsidRPr="00B824AA">
              <w:rPr>
                <w:rFonts w:ascii="Times New Roman" w:hAnsi="Times New Roman" w:cs="Times New Roman"/>
                <w:sz w:val="24"/>
                <w:szCs w:val="24"/>
              </w:rPr>
              <w:t xml:space="preserve">        0,5 dla drugiej i każdej następnej osoby w wieku 14 lat i   starszej;</w:t>
            </w:r>
          </w:p>
          <w:p w14:paraId="35C67C34" w14:textId="77777777" w:rsidR="00560B50" w:rsidRPr="00B824AA" w:rsidRDefault="00560B50" w:rsidP="003946AA">
            <w:pPr>
              <w:jc w:val="both"/>
              <w:rPr>
                <w:rFonts w:ascii="Times New Roman" w:hAnsi="Times New Roman" w:cs="Times New Roman"/>
                <w:sz w:val="24"/>
                <w:szCs w:val="24"/>
              </w:rPr>
            </w:pPr>
            <w:r w:rsidRPr="00B824AA">
              <w:rPr>
                <w:rFonts w:ascii="Times New Roman" w:hAnsi="Times New Roman" w:cs="Times New Roman"/>
                <w:sz w:val="24"/>
                <w:szCs w:val="24"/>
              </w:rPr>
              <w:t xml:space="preserve">        0,3 dla każdego dziecka w wieku poniżej 14 lat.</w:t>
            </w:r>
          </w:p>
          <w:p w14:paraId="0E22DD9D" w14:textId="6813787A" w:rsidR="00560B50" w:rsidRPr="004F0D12" w:rsidRDefault="00560B50" w:rsidP="004F0D12">
            <w:pPr>
              <w:jc w:val="both"/>
              <w:rPr>
                <w:rFonts w:ascii="Times New Roman" w:hAnsi="Times New Roman" w:cs="Times New Roman"/>
                <w:sz w:val="24"/>
                <w:szCs w:val="24"/>
              </w:rPr>
            </w:pPr>
            <w:r w:rsidRPr="00B824AA">
              <w:rPr>
                <w:rStyle w:val="hgkelc"/>
                <w:rFonts w:ascii="Times New Roman" w:hAnsi="Times New Roman" w:cs="Times New Roman"/>
                <w:sz w:val="24"/>
                <w:szCs w:val="24"/>
              </w:rPr>
              <w:t>PPS jest wspólną umowną jednostką a walutową stosowaną w Unii Europejskiej do przeliczeń zagregowanych danych ekonomicznych dla potrzeb porównań przestrzennych, w taki sposób, aby wyeliminować różnice w poziomach cen między państwami członkowskimi</w:t>
            </w:r>
            <w:r w:rsidR="004F0D12">
              <w:rPr>
                <w:rStyle w:val="hgkelc"/>
                <w:rFonts w:ascii="Times New Roman" w:hAnsi="Times New Roman" w:cs="Times New Roman"/>
                <w:sz w:val="24"/>
                <w:szCs w:val="24"/>
              </w:rPr>
              <w:t>.</w:t>
            </w:r>
          </w:p>
          <w:p w14:paraId="6A9C7A38" w14:textId="77777777" w:rsidR="00560B50" w:rsidRPr="00B824AA" w:rsidRDefault="00560B50">
            <w:pPr>
              <w:pStyle w:val="NormalWeb"/>
              <w:rPr>
                <w:lang w:eastAsia="en-US"/>
              </w:rPr>
            </w:pPr>
            <w:r w:rsidRPr="00B824AA">
              <w:rPr>
                <w:lang w:eastAsia="en-US"/>
              </w:rPr>
              <w:t>Odsetek osób w gospodarstwach domowych deklarujących brak możliwości zaspokojenia ze względów finansowych co najmniej 4 z 9 wymienionych poniżej potrzeb:</w:t>
            </w:r>
          </w:p>
          <w:p w14:paraId="10099A4D" w14:textId="77777777" w:rsidR="00560B50" w:rsidRPr="00B824AA" w:rsidRDefault="00560B50">
            <w:pPr>
              <w:pStyle w:val="NormalWeb"/>
              <w:rPr>
                <w:lang w:eastAsia="en-US"/>
              </w:rPr>
            </w:pPr>
            <w:r w:rsidRPr="00B824AA">
              <w:rPr>
                <w:lang w:eastAsia="en-US"/>
              </w:rPr>
              <w:t>1) opłacenia tygodniowego wyjazdu wszystkich członków gospodarstwa domowego na wypoczynek raz w roku,</w:t>
            </w:r>
          </w:p>
          <w:p w14:paraId="5B713B49" w14:textId="77777777" w:rsidR="00560B50" w:rsidRPr="00B824AA" w:rsidRDefault="00560B50">
            <w:pPr>
              <w:pStyle w:val="NormalWeb"/>
              <w:rPr>
                <w:lang w:eastAsia="en-US"/>
              </w:rPr>
            </w:pPr>
            <w:r w:rsidRPr="00B824AA">
              <w:rPr>
                <w:lang w:eastAsia="en-US"/>
              </w:rPr>
              <w:t>2) spożywania mięsa, ryb (lub wegetariańskiego odpowiednika) co drugi dzień,</w:t>
            </w:r>
          </w:p>
          <w:p w14:paraId="21FC4C05" w14:textId="77777777" w:rsidR="00560B50" w:rsidRPr="00B824AA" w:rsidRDefault="00560B50">
            <w:pPr>
              <w:pStyle w:val="NormalWeb"/>
              <w:rPr>
                <w:lang w:eastAsia="en-US"/>
              </w:rPr>
            </w:pPr>
            <w:r w:rsidRPr="00B824AA">
              <w:rPr>
                <w:lang w:eastAsia="en-US"/>
              </w:rPr>
              <w:t>3) ogrzewania mieszkania odpowiednio do potrzeb,</w:t>
            </w:r>
          </w:p>
          <w:p w14:paraId="66FD0FE4" w14:textId="77777777" w:rsidR="00560B50" w:rsidRPr="00B824AA" w:rsidRDefault="00560B50">
            <w:pPr>
              <w:pStyle w:val="NormalWeb"/>
              <w:rPr>
                <w:lang w:eastAsia="en-US"/>
              </w:rPr>
            </w:pPr>
            <w:r w:rsidRPr="00B824AA">
              <w:rPr>
                <w:lang w:eastAsia="en-US"/>
              </w:rPr>
              <w:t>4) pokrycia niespodziewanego wydatku (w wysokości odpowiadającej miesięcznej wartości granicy ubóstwa relatywnego, przyjętej w danym kraju, w roku poprzedzającym badanie),</w:t>
            </w:r>
          </w:p>
          <w:p w14:paraId="155780E3" w14:textId="77777777" w:rsidR="00560B50" w:rsidRPr="00B824AA" w:rsidRDefault="00560B50">
            <w:pPr>
              <w:pStyle w:val="NormalWeb"/>
              <w:rPr>
                <w:lang w:eastAsia="en-US"/>
              </w:rPr>
            </w:pPr>
            <w:r w:rsidRPr="00B824AA">
              <w:rPr>
                <w:lang w:eastAsia="en-US"/>
              </w:rPr>
              <w:lastRenderedPageBreak/>
              <w:t>5) terminowego regulowania opłat związanych z mieszkaniem, spłatą rat i kredytów,</w:t>
            </w:r>
          </w:p>
          <w:p w14:paraId="58F83CE2" w14:textId="77777777" w:rsidR="00560B50" w:rsidRPr="00B824AA" w:rsidRDefault="00560B50">
            <w:pPr>
              <w:pStyle w:val="NormalWeb"/>
              <w:rPr>
                <w:lang w:eastAsia="en-US"/>
              </w:rPr>
            </w:pPr>
            <w:r w:rsidRPr="00B824AA">
              <w:rPr>
                <w:lang w:eastAsia="en-US"/>
              </w:rPr>
              <w:t>6) posiadania telewizora kolorowego,</w:t>
            </w:r>
          </w:p>
          <w:p w14:paraId="4644A1B0" w14:textId="77777777" w:rsidR="00560B50" w:rsidRPr="00B824AA" w:rsidRDefault="00560B50">
            <w:pPr>
              <w:pStyle w:val="NormalWeb"/>
              <w:rPr>
                <w:lang w:eastAsia="en-US"/>
              </w:rPr>
            </w:pPr>
            <w:r w:rsidRPr="00B824AA">
              <w:rPr>
                <w:lang w:eastAsia="en-US"/>
              </w:rPr>
              <w:t>7) posiadania samochodu,</w:t>
            </w:r>
          </w:p>
          <w:p w14:paraId="51FBB2E1" w14:textId="77777777" w:rsidR="00560B50" w:rsidRPr="00B824AA" w:rsidRDefault="00560B50">
            <w:pPr>
              <w:pStyle w:val="NormalWeb"/>
              <w:rPr>
                <w:lang w:eastAsia="en-US"/>
              </w:rPr>
            </w:pPr>
            <w:r w:rsidRPr="00B824AA">
              <w:rPr>
                <w:lang w:eastAsia="en-US"/>
              </w:rPr>
              <w:t>8) posiadania pralki,</w:t>
            </w:r>
          </w:p>
          <w:p w14:paraId="28DAFBBE" w14:textId="77777777" w:rsidR="00560B50" w:rsidRDefault="00560B50" w:rsidP="003946AA">
            <w:pPr>
              <w:pStyle w:val="NormalWeb"/>
              <w:rPr>
                <w:lang w:eastAsia="en-US"/>
              </w:rPr>
            </w:pPr>
            <w:r w:rsidRPr="00B824AA">
              <w:rPr>
                <w:lang w:eastAsia="en-US"/>
              </w:rPr>
              <w:t>9) posiadania telefonu (stacjonarnego lub komórkowego).</w:t>
            </w:r>
          </w:p>
          <w:p w14:paraId="6567FAF1" w14:textId="3A272426" w:rsidR="004F0D12" w:rsidRPr="00B824AA" w:rsidRDefault="004F0D12" w:rsidP="003946AA">
            <w:pPr>
              <w:pStyle w:val="NormalWeb"/>
              <w:rPr>
                <w:lang w:eastAsia="en-US"/>
              </w:rPr>
            </w:pPr>
          </w:p>
        </w:tc>
      </w:tr>
      <w:tr w:rsidR="00560B50" w:rsidRPr="00B824AA" w14:paraId="52E9C1EE" w14:textId="77777777" w:rsidTr="00560B50">
        <w:tc>
          <w:tcPr>
            <w:tcW w:w="2263" w:type="dxa"/>
            <w:tcBorders>
              <w:top w:val="single" w:sz="4" w:space="0" w:color="auto"/>
              <w:left w:val="single" w:sz="4" w:space="0" w:color="auto"/>
              <w:bottom w:val="single" w:sz="4" w:space="0" w:color="auto"/>
              <w:right w:val="single" w:sz="4" w:space="0" w:color="auto"/>
            </w:tcBorders>
          </w:tcPr>
          <w:p w14:paraId="2B1AB81A"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lastRenderedPageBreak/>
              <w:t>Rynek pracy</w:t>
            </w:r>
          </w:p>
          <w:p w14:paraId="3B1589A6" w14:textId="77777777" w:rsidR="00560B50" w:rsidRPr="00B824AA" w:rsidRDefault="00560B50">
            <w:pPr>
              <w:rPr>
                <w:rFonts w:ascii="Times New Roman" w:hAnsi="Times New Roman" w:cs="Times New Roman"/>
                <w:b/>
                <w:bCs/>
              </w:rPr>
            </w:pPr>
          </w:p>
          <w:p w14:paraId="444E74BB" w14:textId="77777777" w:rsidR="00560B50" w:rsidRPr="00B824AA" w:rsidRDefault="00560B50">
            <w:pPr>
              <w:rPr>
                <w:rFonts w:ascii="Times New Roman" w:hAnsi="Times New Roman" w:cs="Times New Roman"/>
                <w:b/>
                <w:bCs/>
              </w:rPr>
            </w:pPr>
          </w:p>
          <w:p w14:paraId="10E0F218" w14:textId="77777777" w:rsidR="00560B50" w:rsidRPr="00B824AA" w:rsidRDefault="00560B50">
            <w:pPr>
              <w:rPr>
                <w:rFonts w:ascii="Times New Roman" w:hAnsi="Times New Roman" w:cs="Times New Roman"/>
              </w:rPr>
            </w:pPr>
            <w:r w:rsidRPr="004F0D12">
              <w:rPr>
                <w:rFonts w:ascii="Times New Roman" w:hAnsi="Times New Roman" w:cs="Times New Roman"/>
              </w:rPr>
              <w:t>X2.1 Wskaźnik</w:t>
            </w:r>
            <w:r w:rsidRPr="00B824AA">
              <w:rPr>
                <w:rFonts w:ascii="Times New Roman" w:hAnsi="Times New Roman" w:cs="Times New Roman"/>
                <w:b/>
                <w:bCs/>
              </w:rPr>
              <w:t xml:space="preserve"> </w:t>
            </w:r>
            <w:r w:rsidRPr="00B824AA">
              <w:rPr>
                <w:rFonts w:ascii="Times New Roman" w:hAnsi="Times New Roman" w:cs="Times New Roman"/>
              </w:rPr>
              <w:t>zatrudnienia</w:t>
            </w:r>
          </w:p>
          <w:p w14:paraId="20B43320" w14:textId="77777777" w:rsidR="00560B50" w:rsidRPr="00B824AA" w:rsidRDefault="00560B50">
            <w:pPr>
              <w:rPr>
                <w:rFonts w:ascii="Times New Roman" w:hAnsi="Times New Roman" w:cs="Times New Roman"/>
              </w:rPr>
            </w:pPr>
          </w:p>
          <w:p w14:paraId="3C1A1324" w14:textId="77777777" w:rsidR="00560B50" w:rsidRPr="00B824AA" w:rsidRDefault="00560B50">
            <w:pPr>
              <w:rPr>
                <w:rFonts w:ascii="Times New Roman" w:hAnsi="Times New Roman" w:cs="Times New Roman"/>
              </w:rPr>
            </w:pPr>
          </w:p>
          <w:p w14:paraId="4F5D0E9D" w14:textId="77777777" w:rsidR="00560B50" w:rsidRPr="00B824AA" w:rsidRDefault="00560B50">
            <w:pPr>
              <w:rPr>
                <w:rFonts w:ascii="Times New Roman" w:hAnsi="Times New Roman" w:cs="Times New Roman"/>
              </w:rPr>
            </w:pPr>
          </w:p>
          <w:p w14:paraId="40068243" w14:textId="77777777" w:rsidR="00560B50" w:rsidRPr="00B824AA" w:rsidRDefault="00560B50">
            <w:pPr>
              <w:rPr>
                <w:rFonts w:ascii="Times New Roman" w:hAnsi="Times New Roman" w:cs="Times New Roman"/>
              </w:rPr>
            </w:pPr>
          </w:p>
          <w:p w14:paraId="54C02D63" w14:textId="77777777" w:rsidR="00560B50" w:rsidRPr="00B824AA" w:rsidRDefault="00560B50">
            <w:pPr>
              <w:rPr>
                <w:rFonts w:ascii="Times New Roman" w:hAnsi="Times New Roman" w:cs="Times New Roman"/>
              </w:rPr>
            </w:pPr>
          </w:p>
          <w:p w14:paraId="6B9A2221" w14:textId="77777777" w:rsidR="00560B50" w:rsidRPr="00B824AA" w:rsidRDefault="00560B50">
            <w:pPr>
              <w:rPr>
                <w:rFonts w:ascii="Times New Roman" w:hAnsi="Times New Roman" w:cs="Times New Roman"/>
              </w:rPr>
            </w:pPr>
            <w:r w:rsidRPr="00B824AA">
              <w:rPr>
                <w:rFonts w:ascii="Times New Roman" w:hAnsi="Times New Roman" w:cs="Times New Roman"/>
              </w:rPr>
              <w:t>X2.2 Mediana płac</w:t>
            </w:r>
          </w:p>
          <w:p w14:paraId="131C2CCC" w14:textId="77777777" w:rsidR="00560B50" w:rsidRPr="00B824AA" w:rsidRDefault="00560B50">
            <w:pPr>
              <w:rPr>
                <w:rFonts w:ascii="Times New Roman" w:hAnsi="Times New Roman" w:cs="Times New Roman"/>
              </w:rPr>
            </w:pPr>
          </w:p>
          <w:p w14:paraId="3AEF5BA9" w14:textId="77777777" w:rsidR="00560B50" w:rsidRPr="00B824AA" w:rsidRDefault="00560B50">
            <w:pPr>
              <w:rPr>
                <w:rFonts w:ascii="Times New Roman" w:hAnsi="Times New Roman" w:cs="Times New Roman"/>
              </w:rPr>
            </w:pPr>
          </w:p>
          <w:p w14:paraId="0B9C3C2A" w14:textId="77777777" w:rsidR="00560B50" w:rsidRPr="00B824AA" w:rsidRDefault="00560B50">
            <w:pPr>
              <w:rPr>
                <w:rFonts w:ascii="Times New Roman" w:hAnsi="Times New Roman" w:cs="Times New Roman"/>
              </w:rPr>
            </w:pPr>
          </w:p>
          <w:p w14:paraId="03BCBB9A" w14:textId="77777777" w:rsidR="00560B50" w:rsidRPr="00B824AA" w:rsidRDefault="00560B50">
            <w:pPr>
              <w:rPr>
                <w:rFonts w:ascii="Times New Roman" w:hAnsi="Times New Roman" w:cs="Times New Roman"/>
              </w:rPr>
            </w:pPr>
          </w:p>
          <w:p w14:paraId="7A75BA17" w14:textId="77777777" w:rsidR="00560B50" w:rsidRPr="00B824AA" w:rsidRDefault="00560B50">
            <w:pPr>
              <w:rPr>
                <w:rFonts w:ascii="Times New Roman" w:hAnsi="Times New Roman" w:cs="Times New Roman"/>
              </w:rPr>
            </w:pPr>
          </w:p>
          <w:p w14:paraId="1170F893"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X2.3 Wskaźnik równości płci </w:t>
            </w:r>
          </w:p>
          <w:p w14:paraId="35FCC864" w14:textId="77777777" w:rsidR="00560B50" w:rsidRPr="00B824AA" w:rsidRDefault="00560B50">
            <w:pPr>
              <w:rPr>
                <w:rFonts w:ascii="Times New Roman" w:hAnsi="Times New Roman" w:cs="Times New Roman"/>
                <w:b/>
                <w:bCs/>
              </w:rPr>
            </w:pPr>
          </w:p>
          <w:p w14:paraId="3DA06584" w14:textId="77777777" w:rsidR="00560B50" w:rsidRPr="00B824AA" w:rsidRDefault="00560B50">
            <w:pPr>
              <w:rPr>
                <w:rFonts w:ascii="Times New Roman" w:hAnsi="Times New Roman" w:cs="Times New Roman"/>
                <w:b/>
                <w:bCs/>
              </w:rPr>
            </w:pPr>
          </w:p>
          <w:p w14:paraId="4D6353D7" w14:textId="77777777" w:rsidR="00560B50" w:rsidRPr="00B824AA" w:rsidRDefault="00560B50">
            <w:pPr>
              <w:rPr>
                <w:rFonts w:ascii="Times New Roman" w:hAnsi="Times New Roman" w:cs="Times New Roman"/>
                <w:b/>
                <w:bCs/>
              </w:rPr>
            </w:pPr>
          </w:p>
          <w:p w14:paraId="7694459B" w14:textId="77777777" w:rsidR="00560B50" w:rsidRPr="00B824AA" w:rsidRDefault="00560B50">
            <w:pPr>
              <w:rPr>
                <w:rFonts w:ascii="Times New Roman" w:hAnsi="Times New Roman" w:cs="Times New Roman"/>
                <w:b/>
                <w:bCs/>
              </w:rPr>
            </w:pPr>
          </w:p>
          <w:p w14:paraId="313F37BB" w14:textId="77777777" w:rsidR="00560B50" w:rsidRPr="00B824AA" w:rsidRDefault="00560B50">
            <w:pPr>
              <w:rPr>
                <w:rFonts w:ascii="Times New Roman" w:hAnsi="Times New Roman" w:cs="Times New Roman"/>
                <w:b/>
                <w:bCs/>
              </w:rPr>
            </w:pPr>
          </w:p>
          <w:p w14:paraId="6149D47A" w14:textId="77777777" w:rsidR="00560B50" w:rsidRPr="00B824AA" w:rsidRDefault="00560B50">
            <w:pPr>
              <w:rPr>
                <w:rFonts w:ascii="Times New Roman" w:hAnsi="Times New Roman" w:cs="Times New Roman"/>
                <w:b/>
                <w:bCs/>
              </w:rPr>
            </w:pPr>
          </w:p>
          <w:p w14:paraId="68693A76" w14:textId="77777777" w:rsidR="00560B50" w:rsidRPr="00B824AA" w:rsidRDefault="00560B50">
            <w:pPr>
              <w:rPr>
                <w:rFonts w:ascii="Times New Roman" w:hAnsi="Times New Roman" w:cs="Times New Roman"/>
                <w:b/>
                <w:bCs/>
              </w:rPr>
            </w:pPr>
          </w:p>
          <w:p w14:paraId="27F4C185" w14:textId="77777777" w:rsidR="00560B50" w:rsidRPr="00B824AA" w:rsidRDefault="00560B50">
            <w:pPr>
              <w:rPr>
                <w:rFonts w:ascii="Times New Roman" w:hAnsi="Times New Roman" w:cs="Times New Roman"/>
                <w:b/>
                <w:bCs/>
              </w:rPr>
            </w:pPr>
          </w:p>
          <w:p w14:paraId="73B0E06F" w14:textId="77777777" w:rsidR="00560B50" w:rsidRPr="00B824AA" w:rsidRDefault="00560B50">
            <w:pPr>
              <w:rPr>
                <w:rFonts w:ascii="Times New Roman" w:hAnsi="Times New Roman" w:cs="Times New Roman"/>
                <w:b/>
                <w:bCs/>
              </w:rPr>
            </w:pPr>
          </w:p>
          <w:p w14:paraId="639EE959" w14:textId="77777777" w:rsidR="00560B50" w:rsidRPr="00B824AA" w:rsidRDefault="00560B50">
            <w:pPr>
              <w:rPr>
                <w:rFonts w:ascii="Times New Roman" w:hAnsi="Times New Roman" w:cs="Times New Roman"/>
                <w:b/>
                <w:bCs/>
              </w:rPr>
            </w:pPr>
          </w:p>
          <w:p w14:paraId="626AF23E" w14:textId="77777777" w:rsidR="00560B50" w:rsidRPr="00B824AA" w:rsidRDefault="00560B50">
            <w:pPr>
              <w:rPr>
                <w:rFonts w:ascii="Times New Roman" w:hAnsi="Times New Roman" w:cs="Times New Roman"/>
                <w:b/>
                <w:bCs/>
              </w:rPr>
            </w:pPr>
          </w:p>
          <w:p w14:paraId="6223908E" w14:textId="77777777" w:rsidR="00BD6A1E" w:rsidRPr="00B824AA" w:rsidRDefault="00BD6A1E">
            <w:pPr>
              <w:rPr>
                <w:rFonts w:ascii="Times New Roman" w:hAnsi="Times New Roman" w:cs="Times New Roman"/>
                <w:b/>
                <w:bCs/>
              </w:rPr>
            </w:pPr>
          </w:p>
          <w:p w14:paraId="4B485EDC" w14:textId="77777777" w:rsidR="00BD6A1E" w:rsidRPr="00B824AA" w:rsidRDefault="00BD6A1E">
            <w:pPr>
              <w:rPr>
                <w:rFonts w:ascii="Times New Roman" w:hAnsi="Times New Roman" w:cs="Times New Roman"/>
                <w:b/>
                <w:bCs/>
              </w:rPr>
            </w:pPr>
          </w:p>
          <w:p w14:paraId="3BDC187A" w14:textId="77777777" w:rsidR="00560B50" w:rsidRPr="00B824AA" w:rsidRDefault="00560B50">
            <w:pPr>
              <w:rPr>
                <w:rFonts w:ascii="Times New Roman" w:hAnsi="Times New Roman" w:cs="Times New Roman"/>
                <w:b/>
                <w:bCs/>
              </w:rPr>
            </w:pPr>
          </w:p>
          <w:p w14:paraId="05A3E600"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X2.4 Wskaźnik stabilności zatrudnienia </w:t>
            </w:r>
          </w:p>
          <w:p w14:paraId="7BBB5421" w14:textId="77777777" w:rsidR="00560B50" w:rsidRPr="00B824AA" w:rsidRDefault="00560B50">
            <w:pPr>
              <w:rPr>
                <w:rFonts w:ascii="Times New Roman" w:hAnsi="Times New Roman" w:cs="Times New Roman"/>
                <w:b/>
                <w:bCs/>
              </w:rPr>
            </w:pPr>
          </w:p>
        </w:tc>
        <w:tc>
          <w:tcPr>
            <w:tcW w:w="6799" w:type="dxa"/>
            <w:tcBorders>
              <w:top w:val="single" w:sz="4" w:space="0" w:color="auto"/>
              <w:left w:val="single" w:sz="4" w:space="0" w:color="auto"/>
              <w:bottom w:val="single" w:sz="4" w:space="0" w:color="auto"/>
              <w:right w:val="single" w:sz="4" w:space="0" w:color="auto"/>
            </w:tcBorders>
          </w:tcPr>
          <w:p w14:paraId="5C9776CA" w14:textId="77777777" w:rsidR="00560B50" w:rsidRPr="00B824AA" w:rsidRDefault="00560B50">
            <w:pPr>
              <w:jc w:val="both"/>
              <w:rPr>
                <w:rFonts w:ascii="Times New Roman" w:hAnsi="Times New Roman" w:cs="Times New Roman"/>
              </w:rPr>
            </w:pPr>
          </w:p>
          <w:p w14:paraId="39B50683" w14:textId="77777777" w:rsidR="00560B50" w:rsidRPr="00B824AA" w:rsidRDefault="00560B50">
            <w:pPr>
              <w:jc w:val="both"/>
              <w:rPr>
                <w:rFonts w:ascii="Times New Roman" w:hAnsi="Times New Roman" w:cs="Times New Roman"/>
              </w:rPr>
            </w:pPr>
          </w:p>
          <w:p w14:paraId="70C7B557" w14:textId="77777777" w:rsidR="00560B50" w:rsidRPr="00B824AA" w:rsidRDefault="00560B50">
            <w:pPr>
              <w:jc w:val="both"/>
              <w:rPr>
                <w:rFonts w:ascii="Times New Roman" w:hAnsi="Times New Roman" w:cs="Times New Roman"/>
              </w:rPr>
            </w:pPr>
          </w:p>
          <w:p w14:paraId="3884BE12"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Procent osób pracujących w wieku 20-64 w ogóle populacji w tym wieku. Jako pracujące liczone są osoby, które w tygodniu poprzedzającym badanie przepracowały co najmniej 1 godzinę. Jako pracujący liczeni są także pomagający członkowie rodzin, a od 2022 r. wszystkie osoby na urlopach macierzyńskich/ rodzicielskich, także tych bezpłatnych. </w:t>
            </w:r>
          </w:p>
          <w:p w14:paraId="577C8EEE" w14:textId="77777777" w:rsidR="00560B50" w:rsidRPr="00B824AA" w:rsidRDefault="00560B50">
            <w:pPr>
              <w:jc w:val="both"/>
              <w:rPr>
                <w:rFonts w:ascii="Times New Roman" w:hAnsi="Times New Roman" w:cs="Times New Roman"/>
              </w:rPr>
            </w:pPr>
          </w:p>
          <w:p w14:paraId="60842ADC" w14:textId="77777777" w:rsidR="00560B50" w:rsidRPr="00B824AA" w:rsidRDefault="00560B50">
            <w:pPr>
              <w:jc w:val="both"/>
              <w:rPr>
                <w:rFonts w:ascii="Times New Roman" w:hAnsi="Times New Roman" w:cs="Times New Roman"/>
              </w:rPr>
            </w:pPr>
          </w:p>
          <w:p w14:paraId="496D1110"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Mediana godzinowej stawki płac ważona PPS (uwzględnia różnice w kosztach życia między krajami). Wynagrodzenia obliczane są jako płace brutto, dane są zbierane w większości krajów tylko dla firm zatrudniających co najmniej 10 pracowników. </w:t>
            </w:r>
          </w:p>
          <w:p w14:paraId="7834762A" w14:textId="77777777" w:rsidR="00560B50" w:rsidRPr="00B824AA" w:rsidRDefault="00560B50">
            <w:pPr>
              <w:jc w:val="both"/>
              <w:rPr>
                <w:rFonts w:ascii="Times New Roman" w:hAnsi="Times New Roman" w:cs="Times New Roman"/>
              </w:rPr>
            </w:pPr>
          </w:p>
          <w:p w14:paraId="0FA623EB" w14:textId="77777777" w:rsidR="00560B50" w:rsidRPr="00B824AA" w:rsidRDefault="00560B50">
            <w:pPr>
              <w:jc w:val="both"/>
              <w:rPr>
                <w:rFonts w:ascii="Times New Roman" w:hAnsi="Times New Roman" w:cs="Times New Roman"/>
              </w:rPr>
            </w:pPr>
          </w:p>
          <w:p w14:paraId="73BCAF2E"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Wskaźnik równości płci (EIGE) jest narzędziem kształtowania polityki służącym do pomiaru postępów w zakresie równouprawnienia płci w UE w miarę upływu czasu. Każdego roku przyznaje się Unii Europejskiej i państwom członkowskim od 1 do 100 punktów. Wynik na poziomie 100 punktów wskazywałby, że dany kraj osiągnął pełne równouprawnienie płci.</w:t>
            </w:r>
          </w:p>
          <w:p w14:paraId="28997C7C" w14:textId="77777777" w:rsidR="00560B50" w:rsidRPr="00B824AA" w:rsidRDefault="00560B50">
            <w:pPr>
              <w:jc w:val="both"/>
              <w:rPr>
                <w:rFonts w:ascii="Times New Roman" w:hAnsi="Times New Roman" w:cs="Times New Roman"/>
              </w:rPr>
            </w:pPr>
          </w:p>
          <w:p w14:paraId="234975C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Wyniki opierają się na różnicach między kobietami a mężczyznami oraz na poziomie ich osiągnięć w sześciu kluczowych dziedzinach: praca, pieniądze, wiedza, czas, władza i zdrowie oraz ich poddziedzinach. Wskaźnik obejmuje dwie dodatkowe dziedziny: przemoc wobec kobiet i nierówności krzyżowe. W ramach analizy nierówności krzyżowych zbadano wpływ takich czynników jak niepełnosprawność, wiek, poziom kształcenia, państwo urodzenia i typ rodziny w skojarzeniu z płcią na kształtowanie się życiowej drogi kobiet i mężczyzn.</w:t>
            </w:r>
          </w:p>
          <w:p w14:paraId="5438B0EE" w14:textId="77777777" w:rsidR="00560B50" w:rsidRPr="00B824AA" w:rsidRDefault="00560B50">
            <w:pPr>
              <w:jc w:val="both"/>
              <w:rPr>
                <w:rFonts w:ascii="Times New Roman" w:hAnsi="Times New Roman" w:cs="Times New Roman"/>
              </w:rPr>
            </w:pPr>
          </w:p>
          <w:p w14:paraId="1DE87F8B" w14:textId="77777777" w:rsidR="00560B50" w:rsidRPr="00B824AA" w:rsidRDefault="00560B50">
            <w:pPr>
              <w:jc w:val="both"/>
              <w:rPr>
                <w:rFonts w:ascii="Times New Roman" w:hAnsi="Times New Roman" w:cs="Times New Roman"/>
              </w:rPr>
            </w:pPr>
          </w:p>
          <w:p w14:paraId="7B71AC3E"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liczby pracowników zatrudnionych na umowach na czas nieokreślony  do liczby zatrudnionych ogółem (pracowników najemnych): na czas nieokreślony, na czas określony oraz pracujących na podstawie umów cywilnoprawnych wyrażony w procentach</w:t>
            </w:r>
          </w:p>
        </w:tc>
      </w:tr>
      <w:tr w:rsidR="00560B50" w:rsidRPr="00B824AA" w14:paraId="2CC46072" w14:textId="77777777" w:rsidTr="00560B50">
        <w:tc>
          <w:tcPr>
            <w:tcW w:w="2263" w:type="dxa"/>
            <w:tcBorders>
              <w:top w:val="single" w:sz="4" w:space="0" w:color="auto"/>
              <w:left w:val="single" w:sz="4" w:space="0" w:color="auto"/>
              <w:bottom w:val="single" w:sz="4" w:space="0" w:color="auto"/>
              <w:right w:val="single" w:sz="4" w:space="0" w:color="auto"/>
            </w:tcBorders>
          </w:tcPr>
          <w:p w14:paraId="6CC1A797"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t>Warunki mieszkaniowe</w:t>
            </w:r>
          </w:p>
          <w:p w14:paraId="5C474DC8" w14:textId="77777777" w:rsidR="00560B50" w:rsidRPr="00B824AA" w:rsidRDefault="00560B50">
            <w:pPr>
              <w:rPr>
                <w:rFonts w:ascii="Times New Roman" w:hAnsi="Times New Roman" w:cs="Times New Roman"/>
              </w:rPr>
            </w:pPr>
          </w:p>
          <w:p w14:paraId="367FCA4C" w14:textId="77777777" w:rsidR="00560B50" w:rsidRPr="00B824AA" w:rsidRDefault="00560B50">
            <w:pPr>
              <w:rPr>
                <w:rFonts w:ascii="Times New Roman" w:hAnsi="Times New Roman" w:cs="Times New Roman"/>
              </w:rPr>
            </w:pPr>
            <w:r w:rsidRPr="00B824AA">
              <w:rPr>
                <w:rFonts w:ascii="Times New Roman" w:hAnsi="Times New Roman" w:cs="Times New Roman"/>
              </w:rPr>
              <w:t>X3.1 Przeludnienie mieszkań</w:t>
            </w:r>
          </w:p>
          <w:p w14:paraId="5F809AE0" w14:textId="77777777" w:rsidR="00560B50" w:rsidRPr="00B824AA" w:rsidRDefault="00560B50">
            <w:pPr>
              <w:ind w:firstLine="174"/>
              <w:rPr>
                <w:rFonts w:ascii="Times New Roman" w:hAnsi="Times New Roman" w:cs="Times New Roman"/>
              </w:rPr>
            </w:pPr>
          </w:p>
          <w:p w14:paraId="63C27856" w14:textId="77777777" w:rsidR="00560B50" w:rsidRPr="00B824AA" w:rsidRDefault="00560B50">
            <w:pPr>
              <w:ind w:firstLine="174"/>
              <w:rPr>
                <w:rFonts w:ascii="Times New Roman" w:hAnsi="Times New Roman" w:cs="Times New Roman"/>
              </w:rPr>
            </w:pPr>
          </w:p>
          <w:p w14:paraId="368F69D6" w14:textId="77777777" w:rsidR="00560B50" w:rsidRPr="00B824AA" w:rsidRDefault="00560B50">
            <w:pPr>
              <w:ind w:firstLine="174"/>
              <w:rPr>
                <w:rFonts w:ascii="Times New Roman" w:hAnsi="Times New Roman" w:cs="Times New Roman"/>
              </w:rPr>
            </w:pPr>
          </w:p>
          <w:p w14:paraId="36DC147A" w14:textId="77777777" w:rsidR="00560B50" w:rsidRPr="00B824AA" w:rsidRDefault="00560B50">
            <w:pPr>
              <w:ind w:firstLine="174"/>
              <w:rPr>
                <w:rFonts w:ascii="Times New Roman" w:hAnsi="Times New Roman" w:cs="Times New Roman"/>
              </w:rPr>
            </w:pPr>
          </w:p>
          <w:p w14:paraId="340A6F14" w14:textId="77777777" w:rsidR="00560B50" w:rsidRPr="00B824AA" w:rsidRDefault="00560B50">
            <w:pPr>
              <w:ind w:firstLine="174"/>
              <w:rPr>
                <w:rFonts w:ascii="Times New Roman" w:hAnsi="Times New Roman" w:cs="Times New Roman"/>
              </w:rPr>
            </w:pPr>
          </w:p>
          <w:p w14:paraId="0F54152E" w14:textId="77777777" w:rsidR="00560B50" w:rsidRPr="00B824AA" w:rsidRDefault="00560B50">
            <w:pPr>
              <w:ind w:firstLine="174"/>
              <w:rPr>
                <w:rFonts w:ascii="Times New Roman" w:hAnsi="Times New Roman" w:cs="Times New Roman"/>
              </w:rPr>
            </w:pPr>
          </w:p>
          <w:p w14:paraId="27BD410E" w14:textId="77777777" w:rsidR="00560B50" w:rsidRPr="00B824AA" w:rsidRDefault="00560B50">
            <w:pPr>
              <w:ind w:firstLine="174"/>
              <w:rPr>
                <w:rFonts w:ascii="Times New Roman" w:hAnsi="Times New Roman" w:cs="Times New Roman"/>
              </w:rPr>
            </w:pPr>
          </w:p>
          <w:p w14:paraId="22758A88" w14:textId="77777777" w:rsidR="00560B50" w:rsidRPr="00B824AA" w:rsidRDefault="00560B50">
            <w:pPr>
              <w:ind w:firstLine="174"/>
              <w:rPr>
                <w:rFonts w:ascii="Times New Roman" w:hAnsi="Times New Roman" w:cs="Times New Roman"/>
              </w:rPr>
            </w:pPr>
          </w:p>
          <w:p w14:paraId="12505216" w14:textId="77777777" w:rsidR="00560B50" w:rsidRPr="00B824AA" w:rsidRDefault="00560B50">
            <w:pPr>
              <w:ind w:firstLine="174"/>
              <w:rPr>
                <w:rFonts w:ascii="Times New Roman" w:hAnsi="Times New Roman" w:cs="Times New Roman"/>
              </w:rPr>
            </w:pPr>
          </w:p>
          <w:p w14:paraId="2E69BED4"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X3.2 Stan techniczny mieszkań</w:t>
            </w:r>
          </w:p>
          <w:p w14:paraId="29CAA4A2" w14:textId="77777777" w:rsidR="00560B50" w:rsidRPr="00B824AA" w:rsidRDefault="00560B50">
            <w:pPr>
              <w:ind w:firstLine="174"/>
              <w:rPr>
                <w:rFonts w:ascii="Times New Roman" w:hAnsi="Times New Roman" w:cs="Times New Roman"/>
              </w:rPr>
            </w:pPr>
          </w:p>
          <w:p w14:paraId="5E1A979E" w14:textId="77777777" w:rsidR="00560B50" w:rsidRPr="00B824AA" w:rsidRDefault="00560B50">
            <w:pPr>
              <w:ind w:firstLine="174"/>
              <w:rPr>
                <w:rFonts w:ascii="Times New Roman" w:hAnsi="Times New Roman" w:cs="Times New Roman"/>
              </w:rPr>
            </w:pPr>
          </w:p>
          <w:p w14:paraId="3D376E27"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X3.3 Wyposażenie mieszkań w instalacje</w:t>
            </w:r>
          </w:p>
          <w:p w14:paraId="12899B46" w14:textId="77777777" w:rsidR="00560B50" w:rsidRPr="00B824AA" w:rsidRDefault="00560B50">
            <w:pPr>
              <w:ind w:firstLine="174"/>
              <w:rPr>
                <w:rFonts w:ascii="Times New Roman" w:hAnsi="Times New Roman" w:cs="Times New Roman"/>
              </w:rPr>
            </w:pPr>
          </w:p>
          <w:p w14:paraId="44167C62"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 xml:space="preserve">X3.4 Emisja gazów </w:t>
            </w:r>
          </w:p>
          <w:p w14:paraId="2DAE9F08" w14:textId="77777777" w:rsidR="00560B50" w:rsidRPr="00B824AA" w:rsidRDefault="00560B50">
            <w:pPr>
              <w:ind w:firstLine="174"/>
              <w:rPr>
                <w:rFonts w:ascii="Times New Roman" w:hAnsi="Times New Roman" w:cs="Times New Roman"/>
              </w:rPr>
            </w:pPr>
            <w:r w:rsidRPr="00B824AA">
              <w:rPr>
                <w:rFonts w:ascii="Times New Roman" w:hAnsi="Times New Roman" w:cs="Times New Roman"/>
              </w:rPr>
              <w:t>cieplarnianych</w:t>
            </w:r>
          </w:p>
        </w:tc>
        <w:tc>
          <w:tcPr>
            <w:tcW w:w="6799" w:type="dxa"/>
            <w:tcBorders>
              <w:top w:val="single" w:sz="4" w:space="0" w:color="auto"/>
              <w:left w:val="single" w:sz="4" w:space="0" w:color="auto"/>
              <w:bottom w:val="single" w:sz="4" w:space="0" w:color="auto"/>
              <w:right w:val="single" w:sz="4" w:space="0" w:color="auto"/>
            </w:tcBorders>
          </w:tcPr>
          <w:p w14:paraId="1F17D12C" w14:textId="77777777" w:rsidR="00560B50" w:rsidRPr="00B824AA" w:rsidRDefault="00560B50">
            <w:pPr>
              <w:rPr>
                <w:rFonts w:ascii="Times New Roman" w:hAnsi="Times New Roman" w:cs="Times New Roman"/>
              </w:rPr>
            </w:pPr>
          </w:p>
          <w:p w14:paraId="6FC04199" w14:textId="77777777" w:rsidR="00560B50" w:rsidRPr="00B824AA" w:rsidRDefault="00560B50">
            <w:pPr>
              <w:rPr>
                <w:rFonts w:ascii="Times New Roman" w:hAnsi="Times New Roman" w:cs="Times New Roman"/>
              </w:rPr>
            </w:pPr>
          </w:p>
          <w:p w14:paraId="3DA188C3" w14:textId="77777777" w:rsidR="00560B50" w:rsidRPr="00B824AA" w:rsidRDefault="00560B50">
            <w:pPr>
              <w:rPr>
                <w:rFonts w:ascii="Times New Roman" w:hAnsi="Times New Roman" w:cs="Times New Roman"/>
              </w:rPr>
            </w:pPr>
          </w:p>
          <w:p w14:paraId="7908762E"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Procent ludności żyjącej w przeludnionym gospodarstwie domowym. Za osobę żyjącą w przeludnionym gospodarstwie domowym uważa się osobę, która nie dysponuje minimalną liczbą pokoi wynoszącą: - jeden </w:t>
            </w:r>
            <w:r w:rsidRPr="00B824AA">
              <w:rPr>
                <w:rFonts w:ascii="Times New Roman" w:hAnsi="Times New Roman" w:cs="Times New Roman"/>
              </w:rPr>
              <w:lastRenderedPageBreak/>
              <w:t>pokój dla gospodarstwa domowego; - jeden pokój dla pary w gospodarstwie domowym; - jeden pokój dla każdej osoby samotnej w wieku 18 lat i więcej; - jeden pokój dla pary osób samotnych tej samej płci w wieku od 12 do 17 lat; - jeden pokój dla każdej osoby samotnej w wieku od 12 do 17 lat, nieuwzględnionej w poprzedniej kategorii; - jeden pokój dla pary dzieci w wieku poniżej 12 lat.</w:t>
            </w:r>
          </w:p>
          <w:p w14:paraId="54AABEA4" w14:textId="77777777" w:rsidR="00560B50" w:rsidRPr="00B824AA" w:rsidRDefault="00560B50">
            <w:pPr>
              <w:jc w:val="both"/>
              <w:rPr>
                <w:rFonts w:ascii="Times New Roman" w:hAnsi="Times New Roman" w:cs="Times New Roman"/>
              </w:rPr>
            </w:pPr>
          </w:p>
          <w:p w14:paraId="35608434" w14:textId="77777777" w:rsidR="00560B50" w:rsidRPr="00B824AA" w:rsidRDefault="00560B50">
            <w:pPr>
              <w:rPr>
                <w:rFonts w:ascii="Times New Roman" w:hAnsi="Times New Roman" w:cs="Times New Roman"/>
              </w:rPr>
            </w:pPr>
          </w:p>
          <w:p w14:paraId="52BC8493"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Procent  ludności nie żyjącej w  mieszkaniach z  przeciekającym dachem, wilgocią na ścianach, podłogach, fundamencie,  butwiejącymi  oknami lub podłogami </w:t>
            </w:r>
          </w:p>
          <w:p w14:paraId="2536D265" w14:textId="77777777" w:rsidR="00560B50" w:rsidRPr="00B824AA" w:rsidRDefault="00560B50">
            <w:pPr>
              <w:jc w:val="both"/>
              <w:rPr>
                <w:rFonts w:ascii="Times New Roman" w:hAnsi="Times New Roman" w:cs="Times New Roman"/>
              </w:rPr>
            </w:pPr>
          </w:p>
          <w:p w14:paraId="4332421C"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Procent ludności posiadający wannę lub  prysznic lub spłukiwaną toaletę w domu </w:t>
            </w:r>
          </w:p>
          <w:p w14:paraId="7A1F08B5" w14:textId="77777777" w:rsidR="00560B50" w:rsidRPr="00B824AA" w:rsidRDefault="00560B50">
            <w:pPr>
              <w:jc w:val="both"/>
              <w:rPr>
                <w:rFonts w:ascii="Times New Roman" w:hAnsi="Times New Roman" w:cs="Times New Roman"/>
              </w:rPr>
            </w:pPr>
          </w:p>
          <w:p w14:paraId="139DEE1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Roczna emisja gazów cieplarnianych w związku z ogrzewaniem i chłodzeniem mieszkania w tonach na gospodarstwo domowe</w:t>
            </w:r>
          </w:p>
        </w:tc>
      </w:tr>
      <w:tr w:rsidR="00560B50" w:rsidRPr="00B824AA" w14:paraId="4094EB69" w14:textId="77777777" w:rsidTr="00560B50">
        <w:tc>
          <w:tcPr>
            <w:tcW w:w="2263" w:type="dxa"/>
            <w:tcBorders>
              <w:top w:val="single" w:sz="4" w:space="0" w:color="auto"/>
              <w:left w:val="single" w:sz="4" w:space="0" w:color="auto"/>
              <w:bottom w:val="single" w:sz="4" w:space="0" w:color="auto"/>
              <w:right w:val="single" w:sz="4" w:space="0" w:color="auto"/>
            </w:tcBorders>
          </w:tcPr>
          <w:p w14:paraId="04B4B8B4"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lastRenderedPageBreak/>
              <w:t>Zdrowie</w:t>
            </w:r>
          </w:p>
          <w:p w14:paraId="241E8937" w14:textId="77777777" w:rsidR="00560B50" w:rsidRPr="00B824AA" w:rsidRDefault="00560B50">
            <w:pPr>
              <w:rPr>
                <w:rFonts w:ascii="Times New Roman" w:hAnsi="Times New Roman" w:cs="Times New Roman"/>
                <w:b/>
                <w:bCs/>
              </w:rPr>
            </w:pPr>
          </w:p>
          <w:p w14:paraId="4282C2D2" w14:textId="77777777" w:rsidR="00560B50" w:rsidRPr="00B824AA" w:rsidRDefault="00560B50">
            <w:pPr>
              <w:rPr>
                <w:rFonts w:ascii="Times New Roman" w:hAnsi="Times New Roman" w:cs="Times New Roman"/>
                <w:b/>
                <w:bCs/>
              </w:rPr>
            </w:pPr>
          </w:p>
          <w:p w14:paraId="2D78C2D7"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X.4.1 - Przeciętne dalsze trwanie życia </w:t>
            </w:r>
          </w:p>
          <w:p w14:paraId="0CD76FB3" w14:textId="77777777" w:rsidR="00560B50" w:rsidRPr="00B824AA" w:rsidRDefault="00560B50">
            <w:pPr>
              <w:rPr>
                <w:rFonts w:ascii="Times New Roman" w:hAnsi="Times New Roman" w:cs="Times New Roman"/>
              </w:rPr>
            </w:pPr>
          </w:p>
          <w:p w14:paraId="3FE4E558"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X4.2 - Samoocena stanu zdrowia </w:t>
            </w:r>
          </w:p>
          <w:p w14:paraId="4B3F271A" w14:textId="77777777" w:rsidR="00560B50" w:rsidRPr="00B824AA" w:rsidRDefault="00560B50">
            <w:pPr>
              <w:rPr>
                <w:rFonts w:ascii="Times New Roman" w:hAnsi="Times New Roman" w:cs="Times New Roman"/>
              </w:rPr>
            </w:pPr>
          </w:p>
          <w:p w14:paraId="50CBEAE2" w14:textId="77777777" w:rsidR="00560B50" w:rsidRPr="00B824AA" w:rsidRDefault="00560B50">
            <w:pPr>
              <w:rPr>
                <w:rFonts w:ascii="Times New Roman" w:hAnsi="Times New Roman" w:cs="Times New Roman"/>
              </w:rPr>
            </w:pPr>
            <w:r w:rsidRPr="00B824AA">
              <w:rPr>
                <w:rFonts w:ascii="Times New Roman" w:hAnsi="Times New Roman" w:cs="Times New Roman"/>
              </w:rPr>
              <w:t>X.4.3 -  Palenie papierosów</w:t>
            </w:r>
          </w:p>
          <w:p w14:paraId="39FEC328" w14:textId="77777777" w:rsidR="00560B50" w:rsidRPr="00B824AA" w:rsidRDefault="00560B50">
            <w:pPr>
              <w:rPr>
                <w:rFonts w:ascii="Times New Roman" w:hAnsi="Times New Roman" w:cs="Times New Roman"/>
              </w:rPr>
            </w:pPr>
          </w:p>
          <w:p w14:paraId="7D91B450" w14:textId="77777777" w:rsidR="00560B50" w:rsidRPr="00B824AA" w:rsidRDefault="00560B50">
            <w:pPr>
              <w:rPr>
                <w:rFonts w:ascii="Times New Roman" w:hAnsi="Times New Roman" w:cs="Times New Roman"/>
              </w:rPr>
            </w:pPr>
            <w:r w:rsidRPr="00B824AA">
              <w:rPr>
                <w:rFonts w:ascii="Times New Roman" w:hAnsi="Times New Roman" w:cs="Times New Roman"/>
              </w:rPr>
              <w:t>X.4.4 - Zgony</w:t>
            </w:r>
          </w:p>
          <w:p w14:paraId="59BF58A6" w14:textId="77777777" w:rsidR="00560B50" w:rsidRPr="00B824AA" w:rsidRDefault="00560B50">
            <w:pPr>
              <w:rPr>
                <w:rFonts w:ascii="Times New Roman" w:hAnsi="Times New Roman" w:cs="Times New Roman"/>
              </w:rPr>
            </w:pPr>
          </w:p>
          <w:p w14:paraId="1CB8AE40" w14:textId="77777777" w:rsidR="00560B50" w:rsidRPr="00B824AA" w:rsidRDefault="00560B50">
            <w:pPr>
              <w:rPr>
                <w:rFonts w:ascii="Times New Roman" w:hAnsi="Times New Roman" w:cs="Times New Roman"/>
              </w:rPr>
            </w:pPr>
            <w:r w:rsidRPr="00B824AA">
              <w:rPr>
                <w:rFonts w:ascii="Times New Roman" w:hAnsi="Times New Roman" w:cs="Times New Roman"/>
              </w:rPr>
              <w:t>X4.5 - Opieka zdrowotna</w:t>
            </w:r>
          </w:p>
          <w:p w14:paraId="74018DD6" w14:textId="77777777" w:rsidR="00560B50" w:rsidRPr="00B824AA" w:rsidRDefault="00560B50">
            <w:pPr>
              <w:rPr>
                <w:rFonts w:ascii="Times New Roman" w:hAnsi="Times New Roman" w:cs="Times New Roman"/>
                <w:b/>
                <w:bCs/>
              </w:rPr>
            </w:pPr>
          </w:p>
          <w:p w14:paraId="7AAB3A9B" w14:textId="77777777" w:rsidR="00560B50" w:rsidRPr="00B824AA" w:rsidRDefault="00560B50">
            <w:pPr>
              <w:rPr>
                <w:rFonts w:ascii="Times New Roman" w:hAnsi="Times New Roman" w:cs="Times New Roman"/>
                <w:b/>
                <w:bCs/>
              </w:rPr>
            </w:pPr>
          </w:p>
          <w:p w14:paraId="15F453DB" w14:textId="77777777" w:rsidR="00560B50" w:rsidRPr="00B824AA" w:rsidRDefault="00560B50">
            <w:pPr>
              <w:rPr>
                <w:rFonts w:ascii="Times New Roman" w:hAnsi="Times New Roman" w:cs="Times New Roman"/>
                <w:b/>
                <w:bCs/>
              </w:rPr>
            </w:pPr>
          </w:p>
          <w:p w14:paraId="5941C2A9" w14:textId="77777777" w:rsidR="00560B50" w:rsidRPr="00B824AA" w:rsidRDefault="00560B50">
            <w:pPr>
              <w:rPr>
                <w:rFonts w:ascii="Times New Roman" w:hAnsi="Times New Roman" w:cs="Times New Roman"/>
              </w:rPr>
            </w:pPr>
            <w:r w:rsidRPr="00B824AA">
              <w:rPr>
                <w:rFonts w:ascii="Times New Roman" w:hAnsi="Times New Roman" w:cs="Times New Roman"/>
              </w:rPr>
              <w:t>X4.6 –Badania stomatologiczne</w:t>
            </w:r>
          </w:p>
        </w:tc>
        <w:tc>
          <w:tcPr>
            <w:tcW w:w="6799" w:type="dxa"/>
            <w:tcBorders>
              <w:top w:val="single" w:sz="4" w:space="0" w:color="auto"/>
              <w:left w:val="single" w:sz="4" w:space="0" w:color="auto"/>
              <w:bottom w:val="single" w:sz="4" w:space="0" w:color="auto"/>
              <w:right w:val="single" w:sz="4" w:space="0" w:color="auto"/>
            </w:tcBorders>
          </w:tcPr>
          <w:p w14:paraId="4AD5BFE2" w14:textId="77777777" w:rsidR="00560B50" w:rsidRPr="00B824AA" w:rsidRDefault="00560B50">
            <w:pPr>
              <w:jc w:val="both"/>
              <w:rPr>
                <w:rFonts w:ascii="Times New Roman" w:hAnsi="Times New Roman" w:cs="Times New Roman"/>
              </w:rPr>
            </w:pPr>
          </w:p>
          <w:p w14:paraId="052F2FED" w14:textId="77777777" w:rsidR="00560B50" w:rsidRPr="00B824AA" w:rsidRDefault="00560B50">
            <w:pPr>
              <w:jc w:val="both"/>
              <w:rPr>
                <w:rFonts w:ascii="Times New Roman" w:hAnsi="Times New Roman" w:cs="Times New Roman"/>
              </w:rPr>
            </w:pPr>
          </w:p>
          <w:p w14:paraId="7E4E3D02" w14:textId="77777777" w:rsidR="00560B50" w:rsidRPr="00B824AA" w:rsidRDefault="00560B50">
            <w:pPr>
              <w:jc w:val="both"/>
              <w:rPr>
                <w:rFonts w:ascii="Times New Roman" w:hAnsi="Times New Roman" w:cs="Times New Roman"/>
              </w:rPr>
            </w:pPr>
          </w:p>
          <w:p w14:paraId="1A87727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Przeciętne dalsze trwanie życia w zdrowiu w wieku 0 lat dla obu płci łącznie</w:t>
            </w:r>
          </w:p>
          <w:p w14:paraId="593FC328" w14:textId="77777777" w:rsidR="00560B50" w:rsidRPr="00B824AA" w:rsidRDefault="00560B50">
            <w:pPr>
              <w:jc w:val="both"/>
              <w:rPr>
                <w:rFonts w:ascii="Times New Roman" w:hAnsi="Times New Roman" w:cs="Times New Roman"/>
              </w:rPr>
            </w:pPr>
          </w:p>
          <w:p w14:paraId="7E2EB3A3"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Procent osób postrzegających swój stan zdrowia jako dobry lub bardzo dobry w populacji 16 lat i więcej</w:t>
            </w:r>
          </w:p>
          <w:p w14:paraId="60AE79CF" w14:textId="77777777" w:rsidR="00560B50" w:rsidRPr="00B824AA" w:rsidRDefault="00560B50">
            <w:pPr>
              <w:jc w:val="both"/>
              <w:rPr>
                <w:rFonts w:ascii="Times New Roman" w:hAnsi="Times New Roman" w:cs="Times New Roman"/>
              </w:rPr>
            </w:pPr>
          </w:p>
          <w:p w14:paraId="2083F54F"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Procent osób palących papierosy wśród osób w wieku 15 lat i więcej</w:t>
            </w:r>
          </w:p>
          <w:p w14:paraId="01669BE3" w14:textId="77777777" w:rsidR="00560B50" w:rsidRPr="00B824AA" w:rsidRDefault="00560B50">
            <w:pPr>
              <w:jc w:val="both"/>
              <w:rPr>
                <w:rFonts w:ascii="Times New Roman" w:hAnsi="Times New Roman" w:cs="Times New Roman"/>
              </w:rPr>
            </w:pPr>
          </w:p>
          <w:p w14:paraId="5877122E" w14:textId="77777777" w:rsidR="00560B50" w:rsidRPr="00B824AA" w:rsidRDefault="00560B50">
            <w:pPr>
              <w:jc w:val="both"/>
              <w:rPr>
                <w:rFonts w:ascii="Times New Roman" w:hAnsi="Times New Roman" w:cs="Times New Roman"/>
              </w:rPr>
            </w:pPr>
          </w:p>
          <w:p w14:paraId="6B0149D3"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Liczba zgonów możliwych do uniknięcia na 100 tys. ludności</w:t>
            </w:r>
          </w:p>
          <w:p w14:paraId="2B7A0429" w14:textId="77777777" w:rsidR="00560B50" w:rsidRPr="00B824AA" w:rsidRDefault="00560B50">
            <w:pPr>
              <w:jc w:val="both"/>
              <w:rPr>
                <w:rFonts w:ascii="Times New Roman" w:hAnsi="Times New Roman" w:cs="Times New Roman"/>
              </w:rPr>
            </w:pPr>
          </w:p>
          <w:p w14:paraId="02FE70F0"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Procent osób wśród osób w wieku 16 lat i więcej, które nie zrealizowały potrzeb w zakresie świadczeń opieki zdrowotnej z powodu zbyt wysokiej ceny, zbyt dużej odległości od miejsca udzielania świadczenia lub zbyt długiego okresu oczekiwania </w:t>
            </w:r>
          </w:p>
          <w:p w14:paraId="763F6B12" w14:textId="77777777" w:rsidR="00560B50" w:rsidRPr="00B824AA" w:rsidRDefault="00560B50">
            <w:pPr>
              <w:jc w:val="both"/>
              <w:rPr>
                <w:rFonts w:ascii="Times New Roman" w:hAnsi="Times New Roman" w:cs="Times New Roman"/>
              </w:rPr>
            </w:pPr>
          </w:p>
          <w:p w14:paraId="79FB811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Procent osób wśród osób w wieku 16 lat i więcej, które nie zrealizowały potrzeb w zakresie świadczeń opieki dentystycznej z powodu zbyt wysokiej ceny, zbyt dużej odległości od miejsca udzielania świadczenia lub zbyt długiego okresu oczekiwania</w:t>
            </w:r>
          </w:p>
        </w:tc>
      </w:tr>
      <w:tr w:rsidR="00560B50" w:rsidRPr="00B824AA" w14:paraId="01841C7B" w14:textId="77777777" w:rsidTr="00560B50">
        <w:tc>
          <w:tcPr>
            <w:tcW w:w="2263" w:type="dxa"/>
            <w:tcBorders>
              <w:top w:val="single" w:sz="4" w:space="0" w:color="auto"/>
              <w:left w:val="single" w:sz="4" w:space="0" w:color="auto"/>
              <w:bottom w:val="single" w:sz="4" w:space="0" w:color="auto"/>
              <w:right w:val="single" w:sz="4" w:space="0" w:color="auto"/>
            </w:tcBorders>
          </w:tcPr>
          <w:p w14:paraId="2C17E5B3"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t>Edukacja</w:t>
            </w:r>
          </w:p>
          <w:p w14:paraId="2BD3D39A" w14:textId="77777777" w:rsidR="00560B50" w:rsidRPr="00B824AA" w:rsidRDefault="00560B50">
            <w:pPr>
              <w:rPr>
                <w:rFonts w:ascii="Times New Roman" w:hAnsi="Times New Roman" w:cs="Times New Roman"/>
              </w:rPr>
            </w:pPr>
          </w:p>
          <w:p w14:paraId="78699109" w14:textId="77777777" w:rsidR="00560B50" w:rsidRPr="00B824AA" w:rsidRDefault="00560B50">
            <w:pPr>
              <w:rPr>
                <w:rFonts w:ascii="Times New Roman" w:hAnsi="Times New Roman" w:cs="Times New Roman"/>
              </w:rPr>
            </w:pPr>
            <w:r w:rsidRPr="00B824AA">
              <w:rPr>
                <w:rFonts w:ascii="Times New Roman" w:hAnsi="Times New Roman" w:cs="Times New Roman"/>
              </w:rPr>
              <w:t>X5.1 – Wczesna edukacja</w:t>
            </w:r>
          </w:p>
          <w:p w14:paraId="04EDFB29" w14:textId="77777777" w:rsidR="00560B50" w:rsidRPr="00B824AA" w:rsidRDefault="00560B50">
            <w:pPr>
              <w:rPr>
                <w:rFonts w:ascii="Times New Roman" w:hAnsi="Times New Roman" w:cs="Times New Roman"/>
              </w:rPr>
            </w:pPr>
          </w:p>
          <w:p w14:paraId="38C91528" w14:textId="77777777" w:rsidR="00560B50" w:rsidRPr="00B824AA" w:rsidRDefault="00560B50">
            <w:pPr>
              <w:rPr>
                <w:rFonts w:ascii="Times New Roman" w:hAnsi="Times New Roman" w:cs="Times New Roman"/>
              </w:rPr>
            </w:pPr>
            <w:r w:rsidRPr="00B824AA">
              <w:rPr>
                <w:rFonts w:ascii="Times New Roman" w:hAnsi="Times New Roman" w:cs="Times New Roman"/>
              </w:rPr>
              <w:t>X5.2. – Uczenie się przez całe życie</w:t>
            </w:r>
          </w:p>
          <w:p w14:paraId="153D8164" w14:textId="77777777" w:rsidR="00560B50" w:rsidRPr="00B824AA" w:rsidRDefault="00560B50">
            <w:pPr>
              <w:rPr>
                <w:rFonts w:ascii="Times New Roman" w:hAnsi="Times New Roman" w:cs="Times New Roman"/>
              </w:rPr>
            </w:pPr>
          </w:p>
          <w:p w14:paraId="73999558" w14:textId="77777777" w:rsidR="00560B50" w:rsidRPr="00B824AA" w:rsidRDefault="00560B50">
            <w:pPr>
              <w:rPr>
                <w:rFonts w:ascii="Times New Roman" w:hAnsi="Times New Roman" w:cs="Times New Roman"/>
              </w:rPr>
            </w:pPr>
          </w:p>
          <w:p w14:paraId="66033DC3" w14:textId="77777777" w:rsidR="00560B50" w:rsidRPr="00B824AA" w:rsidRDefault="00560B50">
            <w:pPr>
              <w:rPr>
                <w:rFonts w:ascii="Times New Roman" w:hAnsi="Times New Roman" w:cs="Times New Roman"/>
              </w:rPr>
            </w:pPr>
          </w:p>
          <w:p w14:paraId="25655827" w14:textId="77777777" w:rsidR="00560B50" w:rsidRPr="00B824AA" w:rsidRDefault="00560B50">
            <w:pPr>
              <w:rPr>
                <w:rFonts w:ascii="Times New Roman" w:hAnsi="Times New Roman" w:cs="Times New Roman"/>
              </w:rPr>
            </w:pPr>
          </w:p>
          <w:p w14:paraId="3BF3A2BD" w14:textId="77777777" w:rsidR="00560B50" w:rsidRPr="00B824AA" w:rsidRDefault="00560B50">
            <w:pPr>
              <w:rPr>
                <w:rFonts w:ascii="Times New Roman" w:hAnsi="Times New Roman" w:cs="Times New Roman"/>
              </w:rPr>
            </w:pPr>
          </w:p>
          <w:p w14:paraId="0CB70CF2" w14:textId="77777777" w:rsidR="00560B50" w:rsidRPr="00B824AA" w:rsidRDefault="00560B50">
            <w:pPr>
              <w:rPr>
                <w:rFonts w:ascii="Times New Roman" w:hAnsi="Times New Roman" w:cs="Times New Roman"/>
              </w:rPr>
            </w:pPr>
          </w:p>
          <w:p w14:paraId="6578630C" w14:textId="77777777" w:rsidR="00560B50" w:rsidRPr="00B824AA" w:rsidRDefault="00560B50">
            <w:pPr>
              <w:rPr>
                <w:rFonts w:ascii="Times New Roman" w:hAnsi="Times New Roman" w:cs="Times New Roman"/>
              </w:rPr>
            </w:pPr>
          </w:p>
          <w:p w14:paraId="567CB9F8" w14:textId="77777777" w:rsidR="00560B50" w:rsidRPr="00B824AA" w:rsidRDefault="00560B50">
            <w:pPr>
              <w:rPr>
                <w:rFonts w:ascii="Times New Roman" w:hAnsi="Times New Roman" w:cs="Times New Roman"/>
              </w:rPr>
            </w:pPr>
            <w:r w:rsidRPr="00B824AA">
              <w:rPr>
                <w:rFonts w:ascii="Times New Roman" w:hAnsi="Times New Roman" w:cs="Times New Roman"/>
              </w:rPr>
              <w:lastRenderedPageBreak/>
              <w:t xml:space="preserve">X5.3 – Wykształcenie wyższe </w:t>
            </w:r>
          </w:p>
          <w:p w14:paraId="09F74D8B" w14:textId="77777777" w:rsidR="00560B50" w:rsidRPr="00B824AA" w:rsidRDefault="00560B50">
            <w:pPr>
              <w:rPr>
                <w:rFonts w:ascii="Times New Roman" w:hAnsi="Times New Roman" w:cs="Times New Roman"/>
              </w:rPr>
            </w:pPr>
          </w:p>
          <w:p w14:paraId="6F6676EE" w14:textId="77777777" w:rsidR="00560B50" w:rsidRPr="00B824AA" w:rsidRDefault="00560B50">
            <w:pPr>
              <w:rPr>
                <w:rFonts w:ascii="Times New Roman" w:hAnsi="Times New Roman" w:cs="Times New Roman"/>
              </w:rPr>
            </w:pPr>
          </w:p>
          <w:p w14:paraId="48ED7375" w14:textId="77777777" w:rsidR="00560B50" w:rsidRPr="00B824AA" w:rsidRDefault="00560B50">
            <w:pPr>
              <w:rPr>
                <w:rFonts w:ascii="Times New Roman" w:hAnsi="Times New Roman" w:cs="Times New Roman"/>
              </w:rPr>
            </w:pPr>
          </w:p>
          <w:p w14:paraId="58733807" w14:textId="77777777" w:rsidR="00560B50" w:rsidRPr="00B824AA" w:rsidRDefault="00560B50">
            <w:pPr>
              <w:rPr>
                <w:rFonts w:ascii="Times New Roman" w:hAnsi="Times New Roman" w:cs="Times New Roman"/>
              </w:rPr>
            </w:pPr>
            <w:r w:rsidRPr="00B824AA">
              <w:rPr>
                <w:rFonts w:ascii="Times New Roman" w:hAnsi="Times New Roman" w:cs="Times New Roman"/>
              </w:rPr>
              <w:t xml:space="preserve">X5.4 – Wcześnie opuszczający edukację </w:t>
            </w:r>
          </w:p>
          <w:p w14:paraId="57394D4B" w14:textId="77777777" w:rsidR="00560B50" w:rsidRPr="00B824AA" w:rsidRDefault="00560B50">
            <w:pPr>
              <w:rPr>
                <w:rFonts w:ascii="Times New Roman" w:hAnsi="Times New Roman" w:cs="Times New Roman"/>
              </w:rPr>
            </w:pPr>
          </w:p>
          <w:p w14:paraId="4C570D8A" w14:textId="77777777" w:rsidR="00560B50" w:rsidRPr="00B824AA" w:rsidRDefault="00560B50">
            <w:pPr>
              <w:rPr>
                <w:rFonts w:ascii="Times New Roman" w:hAnsi="Times New Roman" w:cs="Times New Roman"/>
              </w:rPr>
            </w:pPr>
          </w:p>
          <w:p w14:paraId="42AF3210" w14:textId="77777777" w:rsidR="00560B50" w:rsidRPr="00B824AA" w:rsidRDefault="00560B50">
            <w:pPr>
              <w:rPr>
                <w:rFonts w:ascii="Times New Roman" w:hAnsi="Times New Roman" w:cs="Times New Roman"/>
              </w:rPr>
            </w:pPr>
          </w:p>
          <w:p w14:paraId="56205BDD" w14:textId="77777777" w:rsidR="00560B50" w:rsidRPr="00B824AA" w:rsidRDefault="00560B50">
            <w:pPr>
              <w:rPr>
                <w:rFonts w:ascii="Times New Roman" w:hAnsi="Times New Roman" w:cs="Times New Roman"/>
              </w:rPr>
            </w:pPr>
          </w:p>
          <w:p w14:paraId="32711523" w14:textId="477C88DB" w:rsidR="00560B50" w:rsidRDefault="00560B50">
            <w:pPr>
              <w:rPr>
                <w:rFonts w:ascii="Times New Roman" w:hAnsi="Times New Roman" w:cs="Times New Roman"/>
              </w:rPr>
            </w:pPr>
          </w:p>
          <w:p w14:paraId="4C57F550" w14:textId="77777777" w:rsidR="00736A5E" w:rsidRPr="00B824AA" w:rsidRDefault="00736A5E">
            <w:pPr>
              <w:rPr>
                <w:rFonts w:ascii="Times New Roman" w:hAnsi="Times New Roman" w:cs="Times New Roman"/>
              </w:rPr>
            </w:pPr>
          </w:p>
          <w:p w14:paraId="3744B01D" w14:textId="77777777" w:rsidR="00560B50" w:rsidRPr="00B824AA" w:rsidRDefault="00560B50">
            <w:pPr>
              <w:rPr>
                <w:rFonts w:ascii="Times New Roman" w:hAnsi="Times New Roman" w:cs="Times New Roman"/>
              </w:rPr>
            </w:pPr>
          </w:p>
          <w:p w14:paraId="61251E8D" w14:textId="77777777" w:rsidR="00560B50" w:rsidRPr="00B824AA" w:rsidRDefault="00560B50">
            <w:pPr>
              <w:rPr>
                <w:rFonts w:ascii="Times New Roman" w:hAnsi="Times New Roman" w:cs="Times New Roman"/>
              </w:rPr>
            </w:pPr>
          </w:p>
          <w:p w14:paraId="6811F524" w14:textId="77777777" w:rsidR="00560B50" w:rsidRPr="00B824AA" w:rsidRDefault="00560B50">
            <w:pPr>
              <w:rPr>
                <w:rFonts w:ascii="Times New Roman" w:hAnsi="Times New Roman" w:cs="Times New Roman"/>
              </w:rPr>
            </w:pPr>
          </w:p>
          <w:p w14:paraId="13F651D4" w14:textId="77777777" w:rsidR="00560B50" w:rsidRPr="00B824AA" w:rsidRDefault="00560B50">
            <w:pPr>
              <w:rPr>
                <w:rFonts w:ascii="Times New Roman" w:hAnsi="Times New Roman" w:cs="Times New Roman"/>
              </w:rPr>
            </w:pPr>
            <w:r w:rsidRPr="00B824AA">
              <w:rPr>
                <w:rFonts w:ascii="Times New Roman" w:hAnsi="Times New Roman" w:cs="Times New Roman"/>
              </w:rPr>
              <w:t>X5.5. - Osoby zatrudnione w sektorze R&amp;D (wszystkie sektory)</w:t>
            </w:r>
          </w:p>
          <w:p w14:paraId="6BADED22" w14:textId="77777777" w:rsidR="00560B50" w:rsidRPr="00B824AA" w:rsidRDefault="00560B50">
            <w:pPr>
              <w:rPr>
                <w:rFonts w:ascii="Times New Roman" w:hAnsi="Times New Roman" w:cs="Times New Roman"/>
              </w:rPr>
            </w:pPr>
          </w:p>
          <w:p w14:paraId="0A6F1742" w14:textId="77777777" w:rsidR="00560B50" w:rsidRDefault="00560B50">
            <w:pPr>
              <w:rPr>
                <w:rFonts w:ascii="Times New Roman" w:hAnsi="Times New Roman" w:cs="Times New Roman"/>
              </w:rPr>
            </w:pPr>
          </w:p>
          <w:p w14:paraId="4D0C600F" w14:textId="77777777" w:rsidR="00736A5E" w:rsidRPr="00B824AA" w:rsidRDefault="00736A5E">
            <w:pPr>
              <w:rPr>
                <w:rFonts w:ascii="Times New Roman" w:hAnsi="Times New Roman" w:cs="Times New Roman"/>
              </w:rPr>
            </w:pPr>
          </w:p>
          <w:p w14:paraId="62DBF3A6" w14:textId="77777777" w:rsidR="00560B50" w:rsidRPr="00B824AA" w:rsidRDefault="00560B50">
            <w:pPr>
              <w:rPr>
                <w:rFonts w:ascii="Times New Roman" w:hAnsi="Times New Roman" w:cs="Times New Roman"/>
              </w:rPr>
            </w:pPr>
            <w:r w:rsidRPr="00B824AA">
              <w:rPr>
                <w:rFonts w:ascii="Times New Roman" w:hAnsi="Times New Roman" w:cs="Times New Roman"/>
              </w:rPr>
              <w:t>X.5.6 Wnioski patentowe do EUP</w:t>
            </w:r>
          </w:p>
        </w:tc>
        <w:tc>
          <w:tcPr>
            <w:tcW w:w="6799" w:type="dxa"/>
            <w:tcBorders>
              <w:top w:val="single" w:sz="4" w:space="0" w:color="auto"/>
              <w:left w:val="single" w:sz="4" w:space="0" w:color="auto"/>
              <w:bottom w:val="single" w:sz="4" w:space="0" w:color="auto"/>
              <w:right w:val="single" w:sz="4" w:space="0" w:color="auto"/>
            </w:tcBorders>
          </w:tcPr>
          <w:p w14:paraId="2B1F1BBF" w14:textId="77777777" w:rsidR="00560B50" w:rsidRPr="00B824AA" w:rsidRDefault="00560B50">
            <w:pPr>
              <w:jc w:val="both"/>
              <w:rPr>
                <w:rFonts w:ascii="Times New Roman" w:hAnsi="Times New Roman" w:cs="Times New Roman"/>
              </w:rPr>
            </w:pPr>
          </w:p>
          <w:p w14:paraId="63782C33" w14:textId="77777777" w:rsidR="00560B50" w:rsidRPr="00B824AA" w:rsidRDefault="00560B50">
            <w:pPr>
              <w:jc w:val="both"/>
              <w:rPr>
                <w:rFonts w:ascii="Times New Roman" w:hAnsi="Times New Roman" w:cs="Times New Roman"/>
              </w:rPr>
            </w:pPr>
          </w:p>
          <w:p w14:paraId="14449B1D"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Odsetek dzieci w wieku 4 lat uczestniczących w różnych formach edukacji przedszkolnej i wczesnoszkolnej jako % dzieci w tym wieku.</w:t>
            </w:r>
          </w:p>
          <w:p w14:paraId="26FF614F" w14:textId="77777777" w:rsidR="00560B50" w:rsidRPr="00B824AA" w:rsidRDefault="00560B50">
            <w:pPr>
              <w:jc w:val="both"/>
              <w:rPr>
                <w:rFonts w:ascii="Times New Roman" w:hAnsi="Times New Roman" w:cs="Times New Roman"/>
              </w:rPr>
            </w:pPr>
          </w:p>
          <w:p w14:paraId="2E44C8E6"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Procent osób w wieku od 25 do 64 lat, które stwierdziły, że uczestniczyły w formalnym lub </w:t>
            </w:r>
            <w:proofErr w:type="spellStart"/>
            <w:r w:rsidRPr="00B824AA">
              <w:rPr>
                <w:rFonts w:ascii="Times New Roman" w:hAnsi="Times New Roman" w:cs="Times New Roman"/>
              </w:rPr>
              <w:t>pozaformalnym</w:t>
            </w:r>
            <w:proofErr w:type="spellEnd"/>
            <w:r w:rsidRPr="00B824AA">
              <w:rPr>
                <w:rFonts w:ascii="Times New Roman" w:hAnsi="Times New Roman" w:cs="Times New Roman"/>
              </w:rPr>
              <w:t xml:space="preserve"> kształceniu i szkoleniu w ciągu czterech tygodni poprzedzających badanie. Mianownik stanowi cała populacja w tej samej grupie wieku, z wyłączeniem osób, które nie odpowiedziały na pytanie "uczestnictwo w kształceniu i szkoleniu". Kształcenie dorosłych obejmuje zarówno ogólne, jak i zawodowe formalne i </w:t>
            </w:r>
            <w:proofErr w:type="spellStart"/>
            <w:r w:rsidRPr="00B824AA">
              <w:rPr>
                <w:rFonts w:ascii="Times New Roman" w:hAnsi="Times New Roman" w:cs="Times New Roman"/>
              </w:rPr>
              <w:t>pozaformalne</w:t>
            </w:r>
            <w:proofErr w:type="spellEnd"/>
            <w:r w:rsidRPr="00B824AA">
              <w:rPr>
                <w:rFonts w:ascii="Times New Roman" w:hAnsi="Times New Roman" w:cs="Times New Roman"/>
              </w:rPr>
              <w:t xml:space="preserve"> kształcenie. Dane pochodzą z Badania Aktywności Ekonomicznej Ludności (EU-LFS).</w:t>
            </w:r>
          </w:p>
          <w:p w14:paraId="1FDBF80C" w14:textId="77777777" w:rsidR="00560B50" w:rsidRPr="00B824AA" w:rsidRDefault="00560B50">
            <w:pPr>
              <w:jc w:val="both"/>
              <w:rPr>
                <w:rFonts w:ascii="Times New Roman" w:hAnsi="Times New Roman" w:cs="Times New Roman"/>
              </w:rPr>
            </w:pPr>
          </w:p>
          <w:p w14:paraId="54C7ABB1" w14:textId="77777777" w:rsidR="00560B50" w:rsidRPr="00B824AA" w:rsidRDefault="00560B50">
            <w:pPr>
              <w:jc w:val="both"/>
              <w:rPr>
                <w:rFonts w:ascii="Times New Roman" w:hAnsi="Times New Roman" w:cs="Times New Roman"/>
              </w:rPr>
            </w:pPr>
            <w:r w:rsidRPr="00B824AA">
              <w:rPr>
                <w:rFonts w:ascii="Times New Roman" w:hAnsi="Times New Roman" w:cs="Times New Roman"/>
              </w:rPr>
              <w:lastRenderedPageBreak/>
              <w:t>Procent ludności w wieku 30-34 lat, która pomyślnie ukończyła studia wyższe lub zbliżone do uniwersyteckich (studia wyższe) o poziomie wykształcenia ISCED 1997 (Międzynarodowa Standardowa Klasyfikacja Edukacji) 5-6.</w:t>
            </w:r>
          </w:p>
          <w:p w14:paraId="0B127C25" w14:textId="77777777" w:rsidR="00560B50" w:rsidRPr="00B824AA" w:rsidRDefault="00560B50">
            <w:pPr>
              <w:jc w:val="both"/>
              <w:rPr>
                <w:rFonts w:ascii="Times New Roman" w:hAnsi="Times New Roman" w:cs="Times New Roman"/>
              </w:rPr>
            </w:pPr>
          </w:p>
          <w:p w14:paraId="5F315EE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Procent osób wcześnie opuszczających edukację. Osoby przedwcześnie kończące kształcenie i szkolenie to osoby w wieku od 18 do 24 lat spełniające dwa następujące warunki: po pierwsze, najwyższy osiągnięty poziom kształcenia lub szkolenia to ISCED 0, 1, 2 lub 3c krótki, po drugie, respondenci zadeklarowali, że nie uczestniczyli w żadnym kształceniu lub szkoleniu w ciągu czterech tygodni poprzedzających badanie (licznik). Mianownik składa się z całej populacji w tej samej grupie wiekowej, z wyłączeniem braku odpowiedzi na pytania "najwyższy osiągnięty poziom wykształcenia lub szkolenia" oraz "uczestnictwo w kształceniu i szkoleniu".</w:t>
            </w:r>
          </w:p>
          <w:p w14:paraId="04136884" w14:textId="77777777" w:rsidR="00560B50" w:rsidRPr="00B824AA" w:rsidRDefault="00560B50">
            <w:pPr>
              <w:jc w:val="both"/>
              <w:rPr>
                <w:rFonts w:ascii="Times New Roman" w:hAnsi="Times New Roman" w:cs="Times New Roman"/>
              </w:rPr>
            </w:pPr>
          </w:p>
          <w:p w14:paraId="779D4F31"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zatrudnionych zajmujących się badaniami i rozwojem w następujących sektorach: przedsiębiorstwa prywatne, instytucje publiczne, szkolnictwo wyższe, prywatne organizacje non-profit wśród osób w wieku 20-64 lata wyrażony w procentach. Dane prezentowane są w ekwiwalentach pełnego czasu pracy jako udział w populacji aktywnej zawodowo.</w:t>
            </w:r>
          </w:p>
          <w:p w14:paraId="68F3F054" w14:textId="77777777" w:rsidR="00560B50" w:rsidRPr="00B824AA" w:rsidRDefault="00560B50">
            <w:pPr>
              <w:jc w:val="both"/>
              <w:rPr>
                <w:rFonts w:ascii="Times New Roman" w:hAnsi="Times New Roman" w:cs="Times New Roman"/>
              </w:rPr>
            </w:pPr>
          </w:p>
          <w:p w14:paraId="7157A526"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Liczba wniosków na osobę o ochronę patentową wynalazku złożonych w Europejskim Urzędzie Patentowym (EPO), niezależnie od tego, czy zostały one rozpatrzone pozytywnie, czy negatywnie. Liczba zgłoszeń obejmuje bezpośrednie zgłoszenia europejskie złożone w roku referencyjnym (Direct) oraz zgłoszenia międzynarodowe (PCT), w przypadku których zgłaszający (zgłaszający) wybrali ochronę swojego wynalazku w Europie poprzez wybór EPO w okresie sprawozdawczym (PCT </w:t>
            </w:r>
            <w:proofErr w:type="spellStart"/>
            <w:r w:rsidRPr="00B824AA">
              <w:rPr>
                <w:rFonts w:ascii="Times New Roman" w:hAnsi="Times New Roman" w:cs="Times New Roman"/>
              </w:rPr>
              <w:t>regional</w:t>
            </w:r>
            <w:proofErr w:type="spellEnd"/>
            <w:r w:rsidRPr="00B824AA">
              <w:rPr>
                <w:rFonts w:ascii="Times New Roman" w:hAnsi="Times New Roman" w:cs="Times New Roman"/>
              </w:rPr>
              <w:t>).</w:t>
            </w:r>
          </w:p>
          <w:p w14:paraId="4A678C74" w14:textId="77777777" w:rsidR="00560B50" w:rsidRPr="00B824AA" w:rsidRDefault="00560B50">
            <w:pPr>
              <w:jc w:val="both"/>
              <w:rPr>
                <w:rFonts w:ascii="Times New Roman" w:hAnsi="Times New Roman" w:cs="Times New Roman"/>
              </w:rPr>
            </w:pPr>
          </w:p>
        </w:tc>
      </w:tr>
      <w:tr w:rsidR="00560B50" w:rsidRPr="00B824AA" w14:paraId="02DCD810" w14:textId="77777777" w:rsidTr="00560B50">
        <w:tc>
          <w:tcPr>
            <w:tcW w:w="2263" w:type="dxa"/>
            <w:tcBorders>
              <w:top w:val="single" w:sz="4" w:space="0" w:color="auto"/>
              <w:left w:val="single" w:sz="4" w:space="0" w:color="auto"/>
              <w:bottom w:val="single" w:sz="4" w:space="0" w:color="auto"/>
              <w:right w:val="single" w:sz="4" w:space="0" w:color="auto"/>
            </w:tcBorders>
          </w:tcPr>
          <w:p w14:paraId="44454219"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lastRenderedPageBreak/>
              <w:t xml:space="preserve">Transport </w:t>
            </w:r>
          </w:p>
          <w:p w14:paraId="30058164"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t>i infrastruktura</w:t>
            </w:r>
          </w:p>
          <w:p w14:paraId="5E41A322" w14:textId="77777777" w:rsidR="00560B50" w:rsidRPr="00B824AA" w:rsidRDefault="00560B50">
            <w:pPr>
              <w:rPr>
                <w:rFonts w:ascii="Times New Roman" w:hAnsi="Times New Roman" w:cs="Times New Roman"/>
              </w:rPr>
            </w:pPr>
            <w:r w:rsidRPr="00B824AA">
              <w:rPr>
                <w:rFonts w:ascii="Times New Roman" w:hAnsi="Times New Roman" w:cs="Times New Roman"/>
              </w:rPr>
              <w:t>X6.1 Zużycie wody</w:t>
            </w:r>
          </w:p>
          <w:p w14:paraId="171C25F9" w14:textId="77777777" w:rsidR="00560B50" w:rsidRPr="00B824AA" w:rsidRDefault="00560B50">
            <w:pPr>
              <w:rPr>
                <w:rFonts w:ascii="Times New Roman" w:hAnsi="Times New Roman" w:cs="Times New Roman"/>
              </w:rPr>
            </w:pPr>
          </w:p>
          <w:p w14:paraId="2DE97409" w14:textId="77777777" w:rsidR="00560B50" w:rsidRPr="00B824AA" w:rsidRDefault="00560B50">
            <w:pPr>
              <w:rPr>
                <w:rFonts w:ascii="Times New Roman" w:hAnsi="Times New Roman" w:cs="Times New Roman"/>
              </w:rPr>
            </w:pPr>
          </w:p>
          <w:p w14:paraId="7015480C" w14:textId="77777777" w:rsidR="00560B50" w:rsidRPr="00B824AA" w:rsidRDefault="00560B50">
            <w:pPr>
              <w:rPr>
                <w:rFonts w:ascii="Times New Roman" w:hAnsi="Times New Roman" w:cs="Times New Roman"/>
              </w:rPr>
            </w:pPr>
          </w:p>
          <w:p w14:paraId="7B79D8D6" w14:textId="77777777" w:rsidR="00560B50" w:rsidRPr="00B824AA" w:rsidRDefault="00560B50">
            <w:pPr>
              <w:rPr>
                <w:rFonts w:ascii="Times New Roman" w:hAnsi="Times New Roman" w:cs="Times New Roman"/>
              </w:rPr>
            </w:pPr>
          </w:p>
          <w:p w14:paraId="0C8079EA" w14:textId="77777777" w:rsidR="00560B50" w:rsidRPr="00B824AA" w:rsidRDefault="00560B50">
            <w:pPr>
              <w:rPr>
                <w:rFonts w:ascii="Times New Roman" w:hAnsi="Times New Roman" w:cs="Times New Roman"/>
              </w:rPr>
            </w:pPr>
          </w:p>
          <w:p w14:paraId="37D1B656" w14:textId="77777777" w:rsidR="00560B50" w:rsidRPr="00B824AA" w:rsidRDefault="00560B50">
            <w:pPr>
              <w:rPr>
                <w:rFonts w:ascii="Times New Roman" w:hAnsi="Times New Roman" w:cs="Times New Roman"/>
              </w:rPr>
            </w:pPr>
            <w:r w:rsidRPr="00B824AA">
              <w:rPr>
                <w:rFonts w:ascii="Times New Roman" w:hAnsi="Times New Roman" w:cs="Times New Roman"/>
              </w:rPr>
              <w:t>X6.2 Energia odnawialna</w:t>
            </w:r>
          </w:p>
          <w:p w14:paraId="034CE128" w14:textId="77777777" w:rsidR="00560B50" w:rsidRPr="00B824AA" w:rsidRDefault="00560B50">
            <w:pPr>
              <w:rPr>
                <w:rFonts w:ascii="Times New Roman" w:hAnsi="Times New Roman" w:cs="Times New Roman"/>
              </w:rPr>
            </w:pPr>
          </w:p>
          <w:p w14:paraId="37665BD4" w14:textId="77777777" w:rsidR="00560B50" w:rsidRPr="00B824AA" w:rsidRDefault="00560B50">
            <w:pPr>
              <w:rPr>
                <w:rFonts w:ascii="Times New Roman" w:hAnsi="Times New Roman" w:cs="Times New Roman"/>
              </w:rPr>
            </w:pPr>
          </w:p>
          <w:p w14:paraId="6CDD9281" w14:textId="77777777" w:rsidR="00560B50" w:rsidRPr="00B824AA" w:rsidRDefault="00560B50">
            <w:pPr>
              <w:rPr>
                <w:rFonts w:ascii="Times New Roman" w:hAnsi="Times New Roman" w:cs="Times New Roman"/>
              </w:rPr>
            </w:pPr>
          </w:p>
          <w:p w14:paraId="0B4A6271" w14:textId="77777777" w:rsidR="00560B50" w:rsidRPr="00B824AA" w:rsidRDefault="00560B50">
            <w:pPr>
              <w:rPr>
                <w:rFonts w:ascii="Times New Roman" w:hAnsi="Times New Roman" w:cs="Times New Roman"/>
              </w:rPr>
            </w:pPr>
            <w:r w:rsidRPr="00B824AA">
              <w:rPr>
                <w:rFonts w:ascii="Times New Roman" w:hAnsi="Times New Roman" w:cs="Times New Roman"/>
              </w:rPr>
              <w:t>X6.3 Transport kolejowy</w:t>
            </w:r>
          </w:p>
          <w:p w14:paraId="3FAF3B07" w14:textId="77777777" w:rsidR="00560B50" w:rsidRPr="00B824AA" w:rsidRDefault="00560B50">
            <w:pPr>
              <w:rPr>
                <w:rFonts w:ascii="Times New Roman" w:hAnsi="Times New Roman" w:cs="Times New Roman"/>
              </w:rPr>
            </w:pPr>
          </w:p>
          <w:p w14:paraId="40785B4D" w14:textId="77777777" w:rsidR="00560B50" w:rsidRPr="00B824AA" w:rsidRDefault="00560B50">
            <w:pPr>
              <w:rPr>
                <w:rFonts w:ascii="Times New Roman" w:hAnsi="Times New Roman" w:cs="Times New Roman"/>
              </w:rPr>
            </w:pPr>
            <w:r w:rsidRPr="00B824AA">
              <w:rPr>
                <w:rFonts w:ascii="Times New Roman" w:hAnsi="Times New Roman" w:cs="Times New Roman"/>
              </w:rPr>
              <w:t>X6.4 Transport drogowy</w:t>
            </w:r>
          </w:p>
          <w:p w14:paraId="6453780E" w14:textId="77777777" w:rsidR="00560B50" w:rsidRPr="00B824AA" w:rsidRDefault="00560B50">
            <w:pPr>
              <w:rPr>
                <w:rFonts w:ascii="Times New Roman" w:hAnsi="Times New Roman" w:cs="Times New Roman"/>
              </w:rPr>
            </w:pPr>
          </w:p>
          <w:p w14:paraId="71319E2E" w14:textId="77777777" w:rsidR="00560B50" w:rsidRPr="00B824AA" w:rsidRDefault="00560B50">
            <w:pPr>
              <w:rPr>
                <w:rFonts w:ascii="Times New Roman" w:hAnsi="Times New Roman" w:cs="Times New Roman"/>
              </w:rPr>
            </w:pPr>
          </w:p>
          <w:p w14:paraId="178E3689" w14:textId="77777777" w:rsidR="00560B50" w:rsidRPr="00B824AA" w:rsidRDefault="00560B50">
            <w:pPr>
              <w:rPr>
                <w:rFonts w:ascii="Times New Roman" w:hAnsi="Times New Roman" w:cs="Times New Roman"/>
              </w:rPr>
            </w:pPr>
            <w:r w:rsidRPr="00B824AA">
              <w:rPr>
                <w:rFonts w:ascii="Times New Roman" w:hAnsi="Times New Roman" w:cs="Times New Roman"/>
              </w:rPr>
              <w:t>X6.5 Internet</w:t>
            </w:r>
          </w:p>
          <w:p w14:paraId="45CEE7EE" w14:textId="77777777" w:rsidR="00560B50" w:rsidRPr="00B824AA" w:rsidRDefault="00560B50">
            <w:pPr>
              <w:rPr>
                <w:rFonts w:ascii="Times New Roman" w:hAnsi="Times New Roman" w:cs="Times New Roman"/>
              </w:rPr>
            </w:pPr>
          </w:p>
          <w:p w14:paraId="2DA47E36" w14:textId="77777777" w:rsidR="00560B50" w:rsidRPr="00B824AA" w:rsidRDefault="00560B50">
            <w:pPr>
              <w:rPr>
                <w:rFonts w:ascii="Times New Roman" w:hAnsi="Times New Roman" w:cs="Times New Roman"/>
              </w:rPr>
            </w:pPr>
          </w:p>
          <w:p w14:paraId="1A8AB4E9" w14:textId="77777777" w:rsidR="00560B50" w:rsidRPr="00B824AA" w:rsidRDefault="00560B50">
            <w:pPr>
              <w:rPr>
                <w:rFonts w:ascii="Times New Roman" w:hAnsi="Times New Roman" w:cs="Times New Roman"/>
              </w:rPr>
            </w:pPr>
            <w:r w:rsidRPr="00B824AA">
              <w:rPr>
                <w:rFonts w:ascii="Times New Roman" w:hAnsi="Times New Roman" w:cs="Times New Roman"/>
              </w:rPr>
              <w:lastRenderedPageBreak/>
              <w:t>X6.6 Emisyjność nowych samochodów</w:t>
            </w:r>
          </w:p>
        </w:tc>
        <w:tc>
          <w:tcPr>
            <w:tcW w:w="6799" w:type="dxa"/>
            <w:tcBorders>
              <w:top w:val="single" w:sz="4" w:space="0" w:color="auto"/>
              <w:left w:val="single" w:sz="4" w:space="0" w:color="auto"/>
              <w:bottom w:val="single" w:sz="4" w:space="0" w:color="auto"/>
              <w:right w:val="single" w:sz="4" w:space="0" w:color="auto"/>
            </w:tcBorders>
          </w:tcPr>
          <w:p w14:paraId="564B1992" w14:textId="77777777" w:rsidR="00560B50" w:rsidRPr="00B824AA" w:rsidRDefault="00560B50">
            <w:pPr>
              <w:jc w:val="both"/>
              <w:rPr>
                <w:rFonts w:ascii="Times New Roman" w:hAnsi="Times New Roman" w:cs="Times New Roman"/>
              </w:rPr>
            </w:pPr>
            <w:r w:rsidRPr="00B824AA">
              <w:rPr>
                <w:rFonts w:ascii="Times New Roman" w:hAnsi="Times New Roman" w:cs="Times New Roman"/>
              </w:rPr>
              <w:lastRenderedPageBreak/>
              <w:t>Wskaźnik Zużycia Wody plus (WEI+) jest miarą całkowitego zużycia wody słodkiej jako procent odnawialnych zasobów wody słodkiej (wody gruntowe i powierzchniowe) w danym czasie i miejscu. Określa on ilościowo, ile wody jest pobierane i ile wody jest zwracane po wykorzystaniu do środowiska. Różnica między poborem a zwrotem wody jest traktowana jako zużycie wody i obrazuje presję na odnawialne zasoby słodkiej wody wynikającą z zapotrzebowania na wodę.</w:t>
            </w:r>
          </w:p>
          <w:p w14:paraId="1A20E875" w14:textId="77777777" w:rsidR="00560B50" w:rsidRPr="00B824AA" w:rsidRDefault="00560B50">
            <w:pPr>
              <w:jc w:val="both"/>
              <w:rPr>
                <w:rFonts w:ascii="Times New Roman" w:hAnsi="Times New Roman" w:cs="Times New Roman"/>
              </w:rPr>
            </w:pPr>
          </w:p>
          <w:p w14:paraId="7B8291FD"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procentowy zużycia energii odnawialnej w końcowym zużyciu energii brutto. Końcowe zużycie energii brutto to energia zużyta przez odbiorców końcowych (końcowe zużycie energii) plus straty sieciowe i zużycie własne elektrowni.</w:t>
            </w:r>
          </w:p>
          <w:p w14:paraId="5B278DAC" w14:textId="77777777" w:rsidR="00560B50" w:rsidRPr="00B824AA" w:rsidRDefault="00560B50">
            <w:pPr>
              <w:jc w:val="both"/>
              <w:rPr>
                <w:rFonts w:ascii="Times New Roman" w:hAnsi="Times New Roman" w:cs="Times New Roman"/>
              </w:rPr>
            </w:pPr>
          </w:p>
          <w:p w14:paraId="1772D594"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procentowy długości zelektryfikowanych torów kolejowych w długości torów kolejowych ogółem.</w:t>
            </w:r>
          </w:p>
          <w:p w14:paraId="2B785D4B" w14:textId="77777777" w:rsidR="00560B50" w:rsidRPr="00B824AA" w:rsidRDefault="00560B50">
            <w:pPr>
              <w:jc w:val="both"/>
              <w:rPr>
                <w:rFonts w:ascii="Times New Roman" w:hAnsi="Times New Roman" w:cs="Times New Roman"/>
              </w:rPr>
            </w:pPr>
          </w:p>
          <w:p w14:paraId="439FC782"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Liczba ofiar śmiertelnych wypadków drogowych, w tym kierowców i pasażerów pojazdów silnikowych i rowerów wodnych oraz pieszych na 100 000 osób. </w:t>
            </w:r>
          </w:p>
          <w:p w14:paraId="63B5A815" w14:textId="77777777" w:rsidR="00560B50" w:rsidRPr="00B824AA" w:rsidRDefault="00560B50">
            <w:pPr>
              <w:jc w:val="both"/>
              <w:rPr>
                <w:rFonts w:ascii="Times New Roman" w:hAnsi="Times New Roman" w:cs="Times New Roman"/>
              </w:rPr>
            </w:pPr>
          </w:p>
          <w:p w14:paraId="4AFE1002"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Procent gospodarstw domowych posiadających stałe połączenie z siecią o bardzo wysokiej przepustowości (VHCN). </w:t>
            </w:r>
          </w:p>
          <w:p w14:paraId="0FB90987" w14:textId="77777777" w:rsidR="00560B50" w:rsidRPr="00B824AA" w:rsidRDefault="00560B50">
            <w:pPr>
              <w:jc w:val="both"/>
              <w:rPr>
                <w:rFonts w:ascii="Times New Roman" w:hAnsi="Times New Roman" w:cs="Times New Roman"/>
              </w:rPr>
            </w:pPr>
          </w:p>
          <w:p w14:paraId="48AF29A1" w14:textId="77777777" w:rsidR="00560B50" w:rsidRPr="00B824AA" w:rsidRDefault="00560B50">
            <w:pPr>
              <w:jc w:val="both"/>
              <w:rPr>
                <w:rFonts w:ascii="Times New Roman" w:hAnsi="Times New Roman" w:cs="Times New Roman"/>
              </w:rPr>
            </w:pPr>
            <w:r w:rsidRPr="00B824AA">
              <w:rPr>
                <w:rFonts w:ascii="Times New Roman" w:hAnsi="Times New Roman" w:cs="Times New Roman"/>
              </w:rPr>
              <w:lastRenderedPageBreak/>
              <w:t>Średnia emisja dwutlenku węgla (CO2) na km przez nowe samochody osobowe w danym roku.</w:t>
            </w:r>
          </w:p>
        </w:tc>
      </w:tr>
      <w:tr w:rsidR="00560B50" w:rsidRPr="00B824AA" w14:paraId="3548EBA7" w14:textId="77777777" w:rsidTr="00560B50">
        <w:tc>
          <w:tcPr>
            <w:tcW w:w="2263" w:type="dxa"/>
            <w:tcBorders>
              <w:top w:val="single" w:sz="4" w:space="0" w:color="auto"/>
              <w:left w:val="single" w:sz="4" w:space="0" w:color="auto"/>
              <w:bottom w:val="single" w:sz="4" w:space="0" w:color="auto"/>
              <w:right w:val="single" w:sz="4" w:space="0" w:color="auto"/>
            </w:tcBorders>
            <w:hideMark/>
          </w:tcPr>
          <w:p w14:paraId="6D5997BB" w14:textId="77777777" w:rsidR="00560B50" w:rsidRPr="00B824AA" w:rsidRDefault="00560B50">
            <w:pPr>
              <w:rPr>
                <w:rFonts w:ascii="Times New Roman" w:hAnsi="Times New Roman" w:cs="Times New Roman"/>
                <w:b/>
                <w:bCs/>
              </w:rPr>
            </w:pPr>
            <w:r w:rsidRPr="00B824AA">
              <w:rPr>
                <w:rFonts w:ascii="Times New Roman" w:hAnsi="Times New Roman" w:cs="Times New Roman"/>
                <w:b/>
                <w:bCs/>
              </w:rPr>
              <w:lastRenderedPageBreak/>
              <w:t>Ochrona środowiska</w:t>
            </w:r>
          </w:p>
        </w:tc>
        <w:tc>
          <w:tcPr>
            <w:tcW w:w="6799" w:type="dxa"/>
            <w:tcBorders>
              <w:top w:val="single" w:sz="4" w:space="0" w:color="auto"/>
              <w:left w:val="single" w:sz="4" w:space="0" w:color="auto"/>
              <w:bottom w:val="single" w:sz="4" w:space="0" w:color="auto"/>
              <w:right w:val="single" w:sz="4" w:space="0" w:color="auto"/>
            </w:tcBorders>
          </w:tcPr>
          <w:p w14:paraId="211ECA70" w14:textId="77777777" w:rsidR="00560B50" w:rsidRPr="00B824AA" w:rsidRDefault="00560B50">
            <w:pPr>
              <w:jc w:val="both"/>
              <w:rPr>
                <w:rFonts w:ascii="Times New Roman" w:hAnsi="Times New Roman" w:cs="Times New Roman"/>
              </w:rPr>
            </w:pPr>
          </w:p>
        </w:tc>
      </w:tr>
      <w:tr w:rsidR="00560B50" w:rsidRPr="00B824AA" w14:paraId="603D8073" w14:textId="77777777" w:rsidTr="00560B50">
        <w:tc>
          <w:tcPr>
            <w:tcW w:w="2263" w:type="dxa"/>
            <w:tcBorders>
              <w:top w:val="single" w:sz="4" w:space="0" w:color="auto"/>
              <w:left w:val="single" w:sz="4" w:space="0" w:color="auto"/>
              <w:bottom w:val="single" w:sz="4" w:space="0" w:color="auto"/>
              <w:right w:val="single" w:sz="4" w:space="0" w:color="auto"/>
            </w:tcBorders>
            <w:hideMark/>
          </w:tcPr>
          <w:p w14:paraId="49852BA7"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X7.1 Odpady komunalne </w:t>
            </w:r>
          </w:p>
        </w:tc>
        <w:tc>
          <w:tcPr>
            <w:tcW w:w="6799" w:type="dxa"/>
            <w:tcBorders>
              <w:top w:val="single" w:sz="4" w:space="0" w:color="auto"/>
              <w:left w:val="single" w:sz="4" w:space="0" w:color="auto"/>
              <w:bottom w:val="single" w:sz="4" w:space="0" w:color="auto"/>
              <w:right w:val="single" w:sz="4" w:space="0" w:color="auto"/>
            </w:tcBorders>
          </w:tcPr>
          <w:p w14:paraId="14E8722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Odpady komunalne zbierane w kilogramach na jednego mieszkańca.</w:t>
            </w:r>
          </w:p>
          <w:p w14:paraId="3470C6E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Odpady komunalne wytwarzane są głównie przez gospodarstwa domowe, podobnie jak odpady pochodzące ze źródeł takich jak handel, urzędy i instytucje publiczne.</w:t>
            </w:r>
          </w:p>
          <w:p w14:paraId="658C0367" w14:textId="77777777" w:rsidR="00560B50" w:rsidRPr="00B824AA" w:rsidRDefault="00560B50">
            <w:pPr>
              <w:jc w:val="both"/>
              <w:rPr>
                <w:rFonts w:ascii="Times New Roman" w:hAnsi="Times New Roman" w:cs="Times New Roman"/>
              </w:rPr>
            </w:pPr>
          </w:p>
          <w:p w14:paraId="476B850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Na ilość wytwarzanych odpadów komunalnych składają się odpady odbierane przez lub w imieniu władz gminnych i unieszkodliwiane w ramach systemu gospodarki odpadami. Ilość przetworzonych odpadów komunalnych jest zgłaszana dla operacji przetwarzania: spalania (z odzyskiem energii i bez), recyklingu, kompostowania i składowania. Dane dostępne są w tysiącach ton i kilogramach na osobę. Nie uwzględniono odpadów z rolnictwa i przemysłu. </w:t>
            </w:r>
          </w:p>
          <w:p w14:paraId="02DBF627" w14:textId="77777777" w:rsidR="00560B50" w:rsidRPr="00B824AA" w:rsidRDefault="00560B50">
            <w:pPr>
              <w:jc w:val="both"/>
              <w:rPr>
                <w:rFonts w:ascii="Times New Roman" w:hAnsi="Times New Roman" w:cs="Times New Roman"/>
              </w:rPr>
            </w:pPr>
          </w:p>
          <w:p w14:paraId="4B7EF302" w14:textId="77777777" w:rsidR="00560B50" w:rsidRPr="00B824AA" w:rsidRDefault="00560B50">
            <w:pPr>
              <w:jc w:val="both"/>
              <w:rPr>
                <w:rFonts w:ascii="Times New Roman" w:hAnsi="Times New Roman" w:cs="Times New Roman"/>
              </w:rPr>
            </w:pPr>
          </w:p>
        </w:tc>
      </w:tr>
      <w:tr w:rsidR="00560B50" w:rsidRPr="00B824AA" w14:paraId="7708484F" w14:textId="77777777" w:rsidTr="00560B50">
        <w:tc>
          <w:tcPr>
            <w:tcW w:w="2263" w:type="dxa"/>
            <w:tcBorders>
              <w:top w:val="nil"/>
              <w:left w:val="single" w:sz="4" w:space="0" w:color="auto"/>
              <w:bottom w:val="single" w:sz="4" w:space="0" w:color="auto"/>
              <w:right w:val="single" w:sz="4" w:space="0" w:color="auto"/>
            </w:tcBorders>
            <w:hideMark/>
          </w:tcPr>
          <w:p w14:paraId="32759BC3" w14:textId="77777777" w:rsidR="00560B50" w:rsidRPr="00B824AA" w:rsidRDefault="00560B50">
            <w:pPr>
              <w:rPr>
                <w:rFonts w:ascii="Times New Roman" w:hAnsi="Times New Roman" w:cs="Times New Roman"/>
                <w:b/>
                <w:bCs/>
              </w:rPr>
            </w:pPr>
            <w:r w:rsidRPr="00B824AA">
              <w:rPr>
                <w:rFonts w:ascii="Times New Roman" w:hAnsi="Times New Roman" w:cs="Times New Roman"/>
              </w:rPr>
              <w:t>X7.2 Oczyszczanie ścieków</w:t>
            </w:r>
          </w:p>
        </w:tc>
        <w:tc>
          <w:tcPr>
            <w:tcW w:w="6799" w:type="dxa"/>
            <w:tcBorders>
              <w:top w:val="nil"/>
              <w:left w:val="single" w:sz="4" w:space="0" w:color="auto"/>
              <w:bottom w:val="single" w:sz="4" w:space="0" w:color="auto"/>
              <w:right w:val="single" w:sz="4" w:space="0" w:color="auto"/>
            </w:tcBorders>
            <w:hideMark/>
          </w:tcPr>
          <w:p w14:paraId="64E55577"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Ludność podłączona do co najmniej wtórnego oczyszczania ścieków w procentach.</w:t>
            </w:r>
          </w:p>
          <w:p w14:paraId="4D0C96F6"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Liczba ludności korzystających z systemu zbiorowego unieszkodliwiania płynnych ścieków z gospodarstw domowych. </w:t>
            </w:r>
          </w:p>
        </w:tc>
      </w:tr>
      <w:tr w:rsidR="00560B50" w:rsidRPr="00B824AA" w14:paraId="689F084B" w14:textId="77777777" w:rsidTr="00560B50">
        <w:tc>
          <w:tcPr>
            <w:tcW w:w="2263" w:type="dxa"/>
            <w:tcBorders>
              <w:top w:val="nil"/>
              <w:left w:val="single" w:sz="4" w:space="0" w:color="auto"/>
              <w:bottom w:val="single" w:sz="4" w:space="0" w:color="auto"/>
              <w:right w:val="single" w:sz="4" w:space="0" w:color="auto"/>
            </w:tcBorders>
            <w:hideMark/>
          </w:tcPr>
          <w:p w14:paraId="13CB02F3"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X7.3 Produkcja energii odnawialnej </w:t>
            </w:r>
          </w:p>
        </w:tc>
        <w:tc>
          <w:tcPr>
            <w:tcW w:w="6799" w:type="dxa"/>
            <w:tcBorders>
              <w:top w:val="nil"/>
              <w:left w:val="single" w:sz="4" w:space="0" w:color="auto"/>
              <w:bottom w:val="single" w:sz="4" w:space="0" w:color="auto"/>
              <w:right w:val="single" w:sz="4" w:space="0" w:color="auto"/>
            </w:tcBorders>
          </w:tcPr>
          <w:p w14:paraId="6E3CEEAE"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odnawialnych źródeł energii: biomasy, energii geotermalnej wiatrowej w wytwarzaniu energii elektrycznej, wyrażony w procentach. Ten zestaw danych obejmuje wskaźnik monitorowania postępów w osiąganiu celów w zakresie energii odnawialnej strategii Europa 2020 wdrażanej dyrektywą 2009/28/WE w sprawie promowania stosowania energii ze źródeł odnawialnych.</w:t>
            </w:r>
          </w:p>
          <w:p w14:paraId="329D7136"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Roczne gromadzenie danych obejmuje zasadniczo wszystkie państwa członkowskie Unii Europejskiej. Szeregi czasowe rozpoczynają się w roku 2004.</w:t>
            </w:r>
          </w:p>
          <w:p w14:paraId="5D0D02F3"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Obliczenia opierają się na danych zebranych w ramach rozporządzenia (WE) nr 1099/2008 w sprawie statystyki energii i uzupełnionych szczegółowymi danymi uzupełniającymi przekazanymi przez administracje krajowe do Eurostatu.</w:t>
            </w:r>
          </w:p>
          <w:p w14:paraId="5737186A"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W niektórych krajach systemy statystyczne nie są jeszcze w pełni rozwinięte, aby spełnić wszystkie wymagania dyrektywy 2009/28/WE, w szczególności w odniesieniu do ciepła otoczenia pobieranego ze środowiska przez pompy ciepła.</w:t>
            </w:r>
          </w:p>
          <w:p w14:paraId="77B0892C"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Ten wskaźnik to Cel Zrównoważonego Rozwoju (SDG). Został wybrany do oceny postępów w realizacji celów Strategii Zrównoważonego Rozwoju UE. Zbieranie danych obejmuje pełne spektrum państw członkowskich Unii Europejskiej.</w:t>
            </w:r>
          </w:p>
          <w:p w14:paraId="4A8B680D" w14:textId="77777777" w:rsidR="00560B50" w:rsidRPr="00B824AA" w:rsidRDefault="00560B50">
            <w:pPr>
              <w:jc w:val="both"/>
              <w:rPr>
                <w:rFonts w:ascii="Times New Roman" w:hAnsi="Times New Roman" w:cs="Times New Roman"/>
              </w:rPr>
            </w:pPr>
          </w:p>
          <w:p w14:paraId="6123995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 Udział energii ze źródeł odnawialnych liczony jest dla czterech wskaźników:</w:t>
            </w:r>
          </w:p>
          <w:p w14:paraId="2DBF21B5" w14:textId="77777777" w:rsidR="00560B50" w:rsidRPr="00B824AA" w:rsidRDefault="00560B50">
            <w:pPr>
              <w:jc w:val="both"/>
              <w:rPr>
                <w:rFonts w:ascii="Times New Roman" w:hAnsi="Times New Roman" w:cs="Times New Roman"/>
              </w:rPr>
            </w:pPr>
          </w:p>
          <w:p w14:paraId="187CFAF1"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Transport (OZE-T)</w:t>
            </w:r>
          </w:p>
          <w:p w14:paraId="0DB3AF65"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Ogrzewanie i chłodzenie (OZE-H&amp;C)</w:t>
            </w:r>
          </w:p>
          <w:p w14:paraId="415C5FE0"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Elektryczność (OZE-E)</w:t>
            </w:r>
          </w:p>
          <w:p w14:paraId="0FD6F855"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Ogólny udział OZE (OZE)</w:t>
            </w:r>
          </w:p>
          <w:p w14:paraId="45019431"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W szczególności dla OZE-E możliwe jest uzyskanie wyników wyższych niż 100%. Wynika to z definicji wskaźnika, w której licznik „końcowe zużycie energii elektrycznej brutto ze źródeł odnawialnych” definiuje się jako produkcję energii elektrycznej brutto ze źródeł odnawialnych. Mianownik „końcowe zużycie energii elektrycznej brutto” jest, do celów </w:t>
            </w:r>
            <w:r w:rsidRPr="00B824AA">
              <w:rPr>
                <w:rFonts w:ascii="Times New Roman" w:hAnsi="Times New Roman" w:cs="Times New Roman"/>
              </w:rPr>
              <w:lastRenderedPageBreak/>
              <w:t>obliczeń w narzędziu SHARES, zdefiniowany jako produkcja energii elektrycznej brutto ze wszystkich źródeł energii plus całkowity import energii elektrycznej minus całkowity eksport energii elektrycznej. Dlatego też, jeśli kraj produkuje więcej energii elektrycznej ze źródeł odnawialnych niż całkowita ilość energii elektrycznej, którą zużywa, stosunek OZE do energii elektrycznej byłby wyższy niż 100% (np. Norwegia).</w:t>
            </w:r>
          </w:p>
        </w:tc>
      </w:tr>
      <w:tr w:rsidR="00560B50" w:rsidRPr="00B824AA" w14:paraId="6C962A4A" w14:textId="77777777" w:rsidTr="00560B50">
        <w:tc>
          <w:tcPr>
            <w:tcW w:w="2263" w:type="dxa"/>
            <w:tcBorders>
              <w:top w:val="nil"/>
              <w:left w:val="single" w:sz="4" w:space="0" w:color="auto"/>
              <w:bottom w:val="single" w:sz="4" w:space="0" w:color="auto"/>
              <w:right w:val="single" w:sz="4" w:space="0" w:color="auto"/>
            </w:tcBorders>
            <w:hideMark/>
          </w:tcPr>
          <w:p w14:paraId="380E260C" w14:textId="77777777" w:rsidR="00560B50" w:rsidRPr="00B824AA" w:rsidRDefault="00560B50">
            <w:pPr>
              <w:rPr>
                <w:rFonts w:ascii="Times New Roman" w:hAnsi="Times New Roman" w:cs="Times New Roman"/>
                <w:b/>
                <w:bCs/>
              </w:rPr>
            </w:pPr>
            <w:r w:rsidRPr="00B824AA">
              <w:rPr>
                <w:rFonts w:ascii="Times New Roman" w:hAnsi="Times New Roman" w:cs="Times New Roman"/>
              </w:rPr>
              <w:lastRenderedPageBreak/>
              <w:t>X7.4 Emisja cząstek stałych</w:t>
            </w:r>
          </w:p>
        </w:tc>
        <w:tc>
          <w:tcPr>
            <w:tcW w:w="6799" w:type="dxa"/>
            <w:tcBorders>
              <w:top w:val="nil"/>
              <w:left w:val="single" w:sz="4" w:space="0" w:color="auto"/>
              <w:bottom w:val="single" w:sz="4" w:space="0" w:color="auto"/>
              <w:right w:val="single" w:sz="4" w:space="0" w:color="auto"/>
            </w:tcBorders>
            <w:hideMark/>
          </w:tcPr>
          <w:p w14:paraId="11D67D6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Ważone populacyjnie średnie roczne stężenie pyłu zawieszonego na stacjach tła miejskiego w aglomeracjach w µg/m3 (</w:t>
            </w:r>
            <w:r w:rsidRPr="00B824AA">
              <w:rPr>
                <w:rStyle w:val="Emphasis"/>
                <w:rFonts w:ascii="Times New Roman" w:hAnsi="Times New Roman" w:cs="Times New Roman"/>
              </w:rPr>
              <w:t xml:space="preserve">µg - </w:t>
            </w:r>
            <w:r w:rsidRPr="00B824AA">
              <w:rPr>
                <w:rFonts w:ascii="Times New Roman" w:hAnsi="Times New Roman" w:cs="Times New Roman"/>
              </w:rPr>
              <w:t xml:space="preserve"> jedna milionowa grama ). Drobne i grube cząstki (PM10), czyli cząstki o średnicy poniżej 10 mikrometrów, mogą dostać się w głąb płuc, gdzie mogą wywołać stan zapalny i pogorszyć stan osób cierpiących na choroby serca i płuc. Drobne cząstki (PM2,5) to te, których średnica jest mniejsza niż 2,5 mikrometra. Stanowią zatem podzbiór cząstek PM10. Ich szkodliwy wpływ na zdrowie jest poważniejszy niż PM10, ponieważ mogą być wciągane głębiej do płuc i mogą być bardziej toksyczne.</w:t>
            </w:r>
          </w:p>
        </w:tc>
      </w:tr>
      <w:tr w:rsidR="00560B50" w:rsidRPr="00B824AA" w14:paraId="10512BB9" w14:textId="77777777" w:rsidTr="00560B50">
        <w:tc>
          <w:tcPr>
            <w:tcW w:w="2263" w:type="dxa"/>
            <w:tcBorders>
              <w:top w:val="nil"/>
              <w:left w:val="single" w:sz="4" w:space="0" w:color="auto"/>
              <w:bottom w:val="single" w:sz="4" w:space="0" w:color="auto"/>
              <w:right w:val="single" w:sz="4" w:space="0" w:color="auto"/>
            </w:tcBorders>
            <w:hideMark/>
          </w:tcPr>
          <w:p w14:paraId="57E15078" w14:textId="77777777" w:rsidR="00560B50" w:rsidRPr="00B824AA" w:rsidRDefault="00560B50">
            <w:pPr>
              <w:rPr>
                <w:rFonts w:ascii="Times New Roman" w:hAnsi="Times New Roman" w:cs="Times New Roman"/>
                <w:b/>
                <w:bCs/>
              </w:rPr>
            </w:pPr>
            <w:r w:rsidRPr="00B824AA">
              <w:rPr>
                <w:rFonts w:ascii="Times New Roman" w:hAnsi="Times New Roman" w:cs="Times New Roman"/>
              </w:rPr>
              <w:t>X7.5 Emisje do atmosfery</w:t>
            </w:r>
          </w:p>
        </w:tc>
        <w:tc>
          <w:tcPr>
            <w:tcW w:w="6799" w:type="dxa"/>
            <w:tcBorders>
              <w:top w:val="nil"/>
              <w:left w:val="single" w:sz="4" w:space="0" w:color="auto"/>
              <w:bottom w:val="single" w:sz="4" w:space="0" w:color="auto"/>
              <w:right w:val="single" w:sz="4" w:space="0" w:color="auto"/>
            </w:tcBorders>
            <w:hideMark/>
          </w:tcPr>
          <w:p w14:paraId="79D8E189"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Emisje gazów cieplarnianych i zanieczyszczeń powietrza w przemyśle oraz gospodarstwach domowych w tys. ton na tys. mieszkańców.</w:t>
            </w:r>
          </w:p>
        </w:tc>
      </w:tr>
      <w:tr w:rsidR="00560B50" w:rsidRPr="00B824AA" w14:paraId="17A5A653" w14:textId="77777777" w:rsidTr="00560B50">
        <w:tc>
          <w:tcPr>
            <w:tcW w:w="2263" w:type="dxa"/>
            <w:tcBorders>
              <w:top w:val="nil"/>
              <w:left w:val="single" w:sz="4" w:space="0" w:color="auto"/>
              <w:bottom w:val="single" w:sz="4" w:space="0" w:color="auto"/>
              <w:right w:val="single" w:sz="4" w:space="0" w:color="auto"/>
            </w:tcBorders>
            <w:hideMark/>
          </w:tcPr>
          <w:p w14:paraId="150721DD"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X7.6 Zużycie energii odnawialnej. </w:t>
            </w:r>
          </w:p>
        </w:tc>
        <w:tc>
          <w:tcPr>
            <w:tcW w:w="6799" w:type="dxa"/>
            <w:tcBorders>
              <w:top w:val="nil"/>
              <w:left w:val="single" w:sz="4" w:space="0" w:color="auto"/>
              <w:bottom w:val="single" w:sz="4" w:space="0" w:color="auto"/>
              <w:right w:val="single" w:sz="4" w:space="0" w:color="auto"/>
            </w:tcBorders>
          </w:tcPr>
          <w:p w14:paraId="002146CC" w14:textId="6F84B21D" w:rsidR="00560B50" w:rsidRPr="00B824AA" w:rsidRDefault="00560B50">
            <w:pPr>
              <w:jc w:val="both"/>
              <w:rPr>
                <w:rFonts w:ascii="Times New Roman" w:hAnsi="Times New Roman" w:cs="Times New Roman"/>
              </w:rPr>
            </w:pPr>
            <w:r w:rsidRPr="00B824AA">
              <w:rPr>
                <w:rFonts w:ascii="Times New Roman" w:hAnsi="Times New Roman" w:cs="Times New Roman"/>
              </w:rPr>
              <w:t xml:space="preserve">Udział energii odnawialnej w końcowym zużyciu energii brutto przedsiębiorstw w procentach.  Źródła odnawialne to energia pozyskiwana z bieżących strumieni energii otoczenia lub z substancji z nich otrzymywanych. Można je sklasyfikować jako </w:t>
            </w:r>
            <w:r w:rsidR="00242DAD">
              <w:rPr>
                <w:rFonts w:ascii="Times New Roman" w:hAnsi="Times New Roman" w:cs="Times New Roman"/>
              </w:rPr>
              <w:t>kopalne</w:t>
            </w:r>
            <w:r w:rsidRPr="00B824AA">
              <w:rPr>
                <w:rFonts w:ascii="Times New Roman" w:hAnsi="Times New Roman" w:cs="Times New Roman"/>
              </w:rPr>
              <w:t xml:space="preserve"> lub nie</w:t>
            </w:r>
            <w:r w:rsidR="00242DAD">
              <w:rPr>
                <w:rFonts w:ascii="Times New Roman" w:hAnsi="Times New Roman" w:cs="Times New Roman"/>
              </w:rPr>
              <w:t>ko</w:t>
            </w:r>
            <w:r w:rsidRPr="00B824AA">
              <w:rPr>
                <w:rFonts w:ascii="Times New Roman" w:hAnsi="Times New Roman" w:cs="Times New Roman"/>
              </w:rPr>
              <w:t>palne. Nie</w:t>
            </w:r>
            <w:r w:rsidR="00242DAD">
              <w:rPr>
                <w:rFonts w:ascii="Times New Roman" w:hAnsi="Times New Roman" w:cs="Times New Roman"/>
              </w:rPr>
              <w:t>ko</w:t>
            </w:r>
            <w:r w:rsidRPr="00B824AA">
              <w:rPr>
                <w:rFonts w:ascii="Times New Roman" w:hAnsi="Times New Roman" w:cs="Times New Roman"/>
              </w:rPr>
              <w:t>palne źródła odnawialne obejmują energię geotermalną, słoneczną, wiatrową, wodną, pływów i fal.</w:t>
            </w:r>
          </w:p>
        </w:tc>
      </w:tr>
      <w:tr w:rsidR="00560B50" w:rsidRPr="00B824AA" w14:paraId="07BCA8DD" w14:textId="77777777" w:rsidTr="00560B50">
        <w:tc>
          <w:tcPr>
            <w:tcW w:w="2263" w:type="dxa"/>
            <w:tcBorders>
              <w:top w:val="nil"/>
              <w:left w:val="single" w:sz="4" w:space="0" w:color="auto"/>
              <w:bottom w:val="single" w:sz="4" w:space="0" w:color="auto"/>
              <w:right w:val="single" w:sz="4" w:space="0" w:color="auto"/>
            </w:tcBorders>
            <w:hideMark/>
          </w:tcPr>
          <w:p w14:paraId="48EA8A0E"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X7.7 Zużycie materiałów (DMC) </w:t>
            </w:r>
          </w:p>
        </w:tc>
        <w:tc>
          <w:tcPr>
            <w:tcW w:w="6799" w:type="dxa"/>
            <w:tcBorders>
              <w:top w:val="nil"/>
              <w:left w:val="single" w:sz="4" w:space="0" w:color="auto"/>
              <w:bottom w:val="single" w:sz="4" w:space="0" w:color="auto"/>
              <w:right w:val="single" w:sz="4" w:space="0" w:color="auto"/>
            </w:tcBorders>
            <w:hideMark/>
          </w:tcPr>
          <w:p w14:paraId="68BF235D"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Całkowita ilość materiałów bezpośrednio wykorzystywanych w gospodarce i równa się bezpośredniemu nakładowi materiałowemu (DMI) minus eksport w tonach na osobę. DMI mierzy bezpośredni wkład materiałów do wykorzystania w gospodarce. DMI to wydobycie krajowe (DE) plus import. Do obliczenia wskaźnika „per capita” stosuje się średnią liczbę ludności (średnia arytmetyczna liczby ludności na dzień 1 stycznia z dwóch kolejnych lat). </w:t>
            </w:r>
          </w:p>
        </w:tc>
      </w:tr>
      <w:tr w:rsidR="00560B50" w:rsidRPr="00B824AA" w14:paraId="0C43B51D" w14:textId="77777777" w:rsidTr="00560B50">
        <w:tc>
          <w:tcPr>
            <w:tcW w:w="2263" w:type="dxa"/>
            <w:tcBorders>
              <w:top w:val="nil"/>
              <w:left w:val="single" w:sz="4" w:space="0" w:color="auto"/>
              <w:bottom w:val="single" w:sz="4" w:space="0" w:color="auto"/>
              <w:right w:val="single" w:sz="4" w:space="0" w:color="auto"/>
            </w:tcBorders>
            <w:hideMark/>
          </w:tcPr>
          <w:p w14:paraId="6BA6E659" w14:textId="77777777" w:rsidR="00560B50" w:rsidRPr="00B824AA" w:rsidRDefault="00560B50">
            <w:pPr>
              <w:rPr>
                <w:rFonts w:ascii="Times New Roman" w:hAnsi="Times New Roman" w:cs="Times New Roman"/>
                <w:b/>
                <w:bCs/>
              </w:rPr>
            </w:pPr>
            <w:r w:rsidRPr="00B824AA">
              <w:rPr>
                <w:rFonts w:ascii="Times New Roman" w:hAnsi="Times New Roman" w:cs="Times New Roman"/>
              </w:rPr>
              <w:t>X7.8 Odpady przemysłowe</w:t>
            </w:r>
          </w:p>
        </w:tc>
        <w:tc>
          <w:tcPr>
            <w:tcW w:w="6799" w:type="dxa"/>
            <w:tcBorders>
              <w:top w:val="nil"/>
              <w:left w:val="single" w:sz="4" w:space="0" w:color="auto"/>
              <w:bottom w:val="single" w:sz="4" w:space="0" w:color="auto"/>
              <w:right w:val="single" w:sz="4" w:space="0" w:color="auto"/>
            </w:tcBorders>
          </w:tcPr>
          <w:p w14:paraId="7CDFC9C8"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Całość odpadów wytworzonych w kraju (w jednostce masy), z wyłączeniem głównych odpadów mineralnych, na jednostkę PKB (w euro, ilości powiązane łańcuchowo (2010)). wyrażonych j w kg na tysiąc euro.</w:t>
            </w:r>
          </w:p>
          <w:p w14:paraId="3D26958A" w14:textId="32CB3090" w:rsidR="00560B50" w:rsidRPr="00B824AA" w:rsidRDefault="00560B50">
            <w:pPr>
              <w:jc w:val="both"/>
              <w:rPr>
                <w:rFonts w:ascii="Times New Roman" w:hAnsi="Times New Roman" w:cs="Times New Roman"/>
              </w:rPr>
            </w:pPr>
            <w:r w:rsidRPr="00B824AA">
              <w:rPr>
                <w:rFonts w:ascii="Times New Roman" w:hAnsi="Times New Roman" w:cs="Times New Roman"/>
              </w:rPr>
              <w:t>Dane dotyczące wytwarzania odpadów z wyłączeniem głównych odpadów mineralnych obejmują odpady niebezpieczne (</w:t>
            </w:r>
            <w:proofErr w:type="spellStart"/>
            <w:r w:rsidRPr="00B824AA">
              <w:rPr>
                <w:rFonts w:ascii="Times New Roman" w:hAnsi="Times New Roman" w:cs="Times New Roman"/>
              </w:rPr>
              <w:t>hz</w:t>
            </w:r>
            <w:proofErr w:type="spellEnd"/>
            <w:r w:rsidRPr="00B824AA">
              <w:rPr>
                <w:rFonts w:ascii="Times New Roman" w:hAnsi="Times New Roman" w:cs="Times New Roman"/>
              </w:rPr>
              <w:t>) i inne niż niebezpieczne (</w:t>
            </w:r>
            <w:proofErr w:type="spellStart"/>
            <w:r w:rsidRPr="00B824AA">
              <w:rPr>
                <w:rFonts w:ascii="Times New Roman" w:hAnsi="Times New Roman" w:cs="Times New Roman"/>
              </w:rPr>
              <w:t>nh</w:t>
            </w:r>
            <w:proofErr w:type="spellEnd"/>
            <w:r w:rsidRPr="00B824AA">
              <w:rPr>
                <w:rFonts w:ascii="Times New Roman" w:hAnsi="Times New Roman" w:cs="Times New Roman"/>
              </w:rPr>
              <w:t>) ze wszystkich sektorów gospodarki i gospodarstw domowych, w tym odpady z przetwarzania odpadów (odpady wtórne), ale z wyłączeniem większości odpadów mineralnych. Główne odpady mineralne są wykluczone, ponieważ ciężar całkowitego wytwarzania i przetwarzania odpadów wynika głównie z odpadów mineralnych z budowy/rozbiórki oraz z działalności wydobywczej, przy czym znaczenie tych ostatnich jest bardzo różne w poszczególnych państwach członkowskich. Wykluczenie głównych odpadów mineralnych dokładniej odzwierciedla ogólne trendy niż ogół odpadów i poprawia porównywalność między krajami.</w:t>
            </w:r>
          </w:p>
        </w:tc>
      </w:tr>
      <w:tr w:rsidR="00560B50" w:rsidRPr="00B824AA" w14:paraId="0853CF46" w14:textId="77777777" w:rsidTr="00560B50">
        <w:tc>
          <w:tcPr>
            <w:tcW w:w="2263" w:type="dxa"/>
            <w:tcBorders>
              <w:top w:val="nil"/>
              <w:left w:val="single" w:sz="4" w:space="0" w:color="auto"/>
              <w:bottom w:val="single" w:sz="4" w:space="0" w:color="auto"/>
              <w:right w:val="single" w:sz="4" w:space="0" w:color="auto"/>
            </w:tcBorders>
            <w:hideMark/>
          </w:tcPr>
          <w:p w14:paraId="1C87D52E" w14:textId="77777777" w:rsidR="00560B50" w:rsidRPr="00B824AA" w:rsidRDefault="00560B50">
            <w:pPr>
              <w:rPr>
                <w:rFonts w:ascii="Times New Roman" w:hAnsi="Times New Roman" w:cs="Times New Roman"/>
                <w:b/>
                <w:bCs/>
              </w:rPr>
            </w:pPr>
            <w:r w:rsidRPr="00B824AA">
              <w:rPr>
                <w:rFonts w:ascii="Times New Roman" w:hAnsi="Times New Roman" w:cs="Times New Roman"/>
              </w:rPr>
              <w:t xml:space="preserve">X7.9 Wykorzystanie surowców wtórnych </w:t>
            </w:r>
          </w:p>
        </w:tc>
        <w:tc>
          <w:tcPr>
            <w:tcW w:w="6799" w:type="dxa"/>
            <w:tcBorders>
              <w:top w:val="nil"/>
              <w:left w:val="single" w:sz="4" w:space="0" w:color="auto"/>
              <w:bottom w:val="single" w:sz="4" w:space="0" w:color="auto"/>
              <w:right w:val="single" w:sz="4" w:space="0" w:color="auto"/>
            </w:tcBorders>
          </w:tcPr>
          <w:p w14:paraId="220A0FAB"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Udział materiałów poddawanych recyklingowi i wprowadzanych z powrotem do gospodarki – oszczędzając w ten sposób wydobycie surowców pierwotnych – w ogólnym zużyciu materiałów wyrażony w procentach. Okrągłe wykorzystanie materiałów, znane również jako współczynnik cyrkulacji, definiuje się jako stosunek cyrkularnego wykorzystania materiałów do całkowitego zużycia materiałów.</w:t>
            </w:r>
          </w:p>
          <w:p w14:paraId="7707D14F" w14:textId="77777777" w:rsidR="00560B50" w:rsidRPr="00B824AA" w:rsidRDefault="00560B50">
            <w:pPr>
              <w:jc w:val="both"/>
              <w:rPr>
                <w:rFonts w:ascii="Times New Roman" w:hAnsi="Times New Roman" w:cs="Times New Roman"/>
              </w:rPr>
            </w:pPr>
          </w:p>
          <w:p w14:paraId="01F5BAC4"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Całkowite zużycie materiałów mierzy się poprzez zsumowanie zagregowanego krajowego zużycia materiałów (DMC) i cyklicznego zużycia materiałów. DMC jest zdefiniowana w ogólnogospodarczych rachunkach przepływu materiałów. Okrężne wykorzystanie materiałów jest </w:t>
            </w:r>
            <w:r w:rsidRPr="00B824AA">
              <w:rPr>
                <w:rFonts w:ascii="Times New Roman" w:hAnsi="Times New Roman" w:cs="Times New Roman"/>
              </w:rPr>
              <w:lastRenderedPageBreak/>
              <w:t>przybliżone przez ilość odpadów poddanych recyklingowi w krajowych zakładach odzysku minus odpady importowane przeznaczone do odzysku plus odpady eksportowane przeznaczone do odzysku za granicą. Odpady poddane recyklingowi w przydomowych zakładach odzysku obejmują operacje odzysku R2 do R11  Import i eksport odpadów przeznaczonych do recyklingu – czyli ilość importowanych i eksportowanych odpadów przeznaczonych do odzysku – jest przybliżona na podstawie europejskich statystyk dotyczących międzynarodowego handlu towarami.</w:t>
            </w:r>
          </w:p>
          <w:p w14:paraId="4B0A9671" w14:textId="77777777" w:rsidR="00560B50" w:rsidRPr="00B824AA" w:rsidRDefault="00560B50">
            <w:pPr>
              <w:jc w:val="both"/>
              <w:rPr>
                <w:rFonts w:ascii="Times New Roman" w:hAnsi="Times New Roman" w:cs="Times New Roman"/>
              </w:rPr>
            </w:pPr>
          </w:p>
          <w:p w14:paraId="703A5174"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Wyższa wartość współczynnika obiegu zamkniętego oznacza, że ​​więcej materiałów wtórnych zastępuje surowce pierwotne, zmniejszając w ten sposób wpływ wydobycia materiału pierwotnego na środowisko.</w:t>
            </w:r>
          </w:p>
        </w:tc>
      </w:tr>
      <w:tr w:rsidR="00560B50" w:rsidRPr="00B824AA" w14:paraId="54E90AE1" w14:textId="77777777" w:rsidTr="00560B50">
        <w:tc>
          <w:tcPr>
            <w:tcW w:w="2263" w:type="dxa"/>
            <w:tcBorders>
              <w:top w:val="nil"/>
              <w:left w:val="single" w:sz="4" w:space="0" w:color="auto"/>
              <w:bottom w:val="single" w:sz="4" w:space="0" w:color="auto"/>
              <w:right w:val="single" w:sz="4" w:space="0" w:color="auto"/>
            </w:tcBorders>
            <w:hideMark/>
          </w:tcPr>
          <w:p w14:paraId="124354EC" w14:textId="77777777" w:rsidR="00560B50" w:rsidRPr="00B824AA" w:rsidRDefault="00560B50">
            <w:pPr>
              <w:rPr>
                <w:rFonts w:ascii="Times New Roman" w:hAnsi="Times New Roman" w:cs="Times New Roman"/>
                <w:b/>
                <w:bCs/>
              </w:rPr>
            </w:pPr>
            <w:r w:rsidRPr="00B824AA">
              <w:rPr>
                <w:rFonts w:ascii="Times New Roman" w:hAnsi="Times New Roman" w:cs="Times New Roman"/>
              </w:rPr>
              <w:lastRenderedPageBreak/>
              <w:t xml:space="preserve">X7.10 Emisja gazów cieplarnianych </w:t>
            </w:r>
          </w:p>
        </w:tc>
        <w:tc>
          <w:tcPr>
            <w:tcW w:w="6799" w:type="dxa"/>
            <w:tcBorders>
              <w:top w:val="nil"/>
              <w:left w:val="single" w:sz="4" w:space="0" w:color="auto"/>
              <w:bottom w:val="single" w:sz="4" w:space="0" w:color="auto"/>
              <w:right w:val="single" w:sz="4" w:space="0" w:color="auto"/>
            </w:tcBorders>
          </w:tcPr>
          <w:p w14:paraId="3C1DA6D2"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Emisja gazów cieplarnianych dwutlenku węgla oraz innych przeliczonych na emisję CO2 w tys.. ton na osobę, powstałych w wyniku emisji z zakładów przemysłowych</w:t>
            </w:r>
          </w:p>
          <w:p w14:paraId="58958BE5"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Zawiera dane dotyczące inwentaryzacji emisji gazów cieplarnianych, zgłoszone do Europejskiej Agencji Środowiska (EEA). </w:t>
            </w:r>
          </w:p>
          <w:p w14:paraId="7C24C693"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Unia Europejska (UE) jako strona Ramowej Konwencji Narodów Zjednoczonych w sprawie Zmian Klimatu (UNFCCC) corocznie przedstawia swoje inwentaryzacje gazów cieplarnianych za rok t-2 oraz na obszarze objętym przez jej państwa członkowskie. Inwentaryzacja zawiera dane dotyczące dwutlenku węgla (CO2), metanu (CH4), podtlenku azotu (N2O), </w:t>
            </w:r>
            <w:proofErr w:type="spellStart"/>
            <w:r w:rsidRPr="00B824AA">
              <w:rPr>
                <w:rFonts w:ascii="Times New Roman" w:hAnsi="Times New Roman" w:cs="Times New Roman"/>
              </w:rPr>
              <w:t>perfluorowęglowodorów</w:t>
            </w:r>
            <w:proofErr w:type="spellEnd"/>
            <w:r w:rsidRPr="00B824AA">
              <w:rPr>
                <w:rFonts w:ascii="Times New Roman" w:hAnsi="Times New Roman" w:cs="Times New Roman"/>
              </w:rPr>
              <w:t xml:space="preserve"> (PFC), </w:t>
            </w:r>
            <w:proofErr w:type="spellStart"/>
            <w:r w:rsidRPr="00B824AA">
              <w:rPr>
                <w:rFonts w:ascii="Times New Roman" w:hAnsi="Times New Roman" w:cs="Times New Roman"/>
              </w:rPr>
              <w:t>wodorofluorowęglowodorów</w:t>
            </w:r>
            <w:proofErr w:type="spellEnd"/>
            <w:r w:rsidRPr="00B824AA">
              <w:rPr>
                <w:rFonts w:ascii="Times New Roman" w:hAnsi="Times New Roman" w:cs="Times New Roman"/>
              </w:rPr>
              <w:t xml:space="preserve"> (HFC), </w:t>
            </w:r>
            <w:proofErr w:type="spellStart"/>
            <w:r w:rsidRPr="00B824AA">
              <w:rPr>
                <w:rFonts w:ascii="Times New Roman" w:hAnsi="Times New Roman" w:cs="Times New Roman"/>
              </w:rPr>
              <w:t>sześciofluorku</w:t>
            </w:r>
            <w:proofErr w:type="spellEnd"/>
            <w:r w:rsidRPr="00B824AA">
              <w:rPr>
                <w:rFonts w:ascii="Times New Roman" w:hAnsi="Times New Roman" w:cs="Times New Roman"/>
              </w:rPr>
              <w:t xml:space="preserve"> siarki (SF6) i </w:t>
            </w:r>
            <w:proofErr w:type="spellStart"/>
            <w:r w:rsidRPr="00B824AA">
              <w:rPr>
                <w:rFonts w:ascii="Times New Roman" w:hAnsi="Times New Roman" w:cs="Times New Roman"/>
              </w:rPr>
              <w:t>trifluorku</w:t>
            </w:r>
            <w:proofErr w:type="spellEnd"/>
            <w:r w:rsidRPr="00B824AA">
              <w:rPr>
                <w:rFonts w:ascii="Times New Roman" w:hAnsi="Times New Roman" w:cs="Times New Roman"/>
              </w:rPr>
              <w:t xml:space="preserve"> azotu (NF3). Wykaz UE jest w pełni zgodny z krajowymi wykazami gazów cieplarnianych opracowanymi przez państwa członkowskie UE.</w:t>
            </w:r>
          </w:p>
          <w:p w14:paraId="29E2F54E" w14:textId="77777777" w:rsidR="00560B50" w:rsidRPr="00B824AA" w:rsidRDefault="00560B50">
            <w:pPr>
              <w:jc w:val="both"/>
              <w:rPr>
                <w:rFonts w:ascii="Times New Roman" w:hAnsi="Times New Roman" w:cs="Times New Roman"/>
              </w:rPr>
            </w:pPr>
            <w:r w:rsidRPr="00B824AA">
              <w:rPr>
                <w:rFonts w:ascii="Times New Roman" w:hAnsi="Times New Roman" w:cs="Times New Roman"/>
              </w:rPr>
              <w:t xml:space="preserve">Klucze notacji UNFCCC używane w oryginalnym zbiorze danych opublikowanym przez EEA nie mogą być powiązane jeden do jednego z flagami dostępnymi w </w:t>
            </w:r>
            <w:proofErr w:type="spellStart"/>
            <w:r w:rsidRPr="00B824AA">
              <w:rPr>
                <w:rFonts w:ascii="Times New Roman" w:hAnsi="Times New Roman" w:cs="Times New Roman"/>
              </w:rPr>
              <w:t>Eurobase</w:t>
            </w:r>
            <w:proofErr w:type="spellEnd"/>
            <w:r w:rsidRPr="00B824AA">
              <w:rPr>
                <w:rFonts w:ascii="Times New Roman" w:hAnsi="Times New Roman" w:cs="Times New Roman"/>
              </w:rPr>
              <w:t>.</w:t>
            </w:r>
          </w:p>
          <w:p w14:paraId="02E98D94" w14:textId="77777777" w:rsidR="00560B50" w:rsidRPr="00B824AA" w:rsidRDefault="00560B50">
            <w:pPr>
              <w:jc w:val="both"/>
              <w:rPr>
                <w:rFonts w:ascii="Times New Roman" w:hAnsi="Times New Roman" w:cs="Times New Roman"/>
              </w:rPr>
            </w:pPr>
          </w:p>
        </w:tc>
      </w:tr>
    </w:tbl>
    <w:p w14:paraId="754B71FE" w14:textId="77777777" w:rsidR="009151F0" w:rsidRPr="00B824AA" w:rsidRDefault="009151F0" w:rsidP="00F952A0">
      <w:pPr>
        <w:rPr>
          <w:rFonts w:ascii="Times New Roman" w:hAnsi="Times New Roman" w:cs="Times New Roman"/>
        </w:rPr>
      </w:pPr>
    </w:p>
    <w:sectPr w:rsidR="009151F0" w:rsidRPr="00B824AA">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9E6A" w14:textId="77777777" w:rsidR="00B637DE" w:rsidRDefault="00B637DE" w:rsidP="009151F0">
      <w:pPr>
        <w:spacing w:after="0" w:line="240" w:lineRule="auto"/>
      </w:pPr>
      <w:r>
        <w:separator/>
      </w:r>
    </w:p>
  </w:endnote>
  <w:endnote w:type="continuationSeparator" w:id="0">
    <w:p w14:paraId="6320EA9C" w14:textId="77777777" w:rsidR="00B637DE" w:rsidRDefault="00B637DE" w:rsidP="0091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950" w14:textId="77777777" w:rsidR="00866620" w:rsidRDefault="00866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92987431"/>
      <w:docPartObj>
        <w:docPartGallery w:val="Page Numbers (Bottom of Page)"/>
        <w:docPartUnique/>
      </w:docPartObj>
    </w:sdtPr>
    <w:sdtEndPr/>
    <w:sdtContent>
      <w:p w14:paraId="0C4C8BC5" w14:textId="616B31B0" w:rsidR="00866620" w:rsidRPr="00DB6F0D" w:rsidRDefault="00866620">
        <w:pPr>
          <w:pStyle w:val="Footer"/>
          <w:jc w:val="center"/>
          <w:rPr>
            <w:rFonts w:ascii="Times New Roman" w:hAnsi="Times New Roman" w:cs="Times New Roman"/>
          </w:rPr>
        </w:pPr>
        <w:r w:rsidRPr="00DB6F0D">
          <w:rPr>
            <w:rFonts w:ascii="Times New Roman" w:hAnsi="Times New Roman" w:cs="Times New Roman"/>
          </w:rPr>
          <w:fldChar w:fldCharType="begin"/>
        </w:r>
        <w:r w:rsidRPr="00DB6F0D">
          <w:rPr>
            <w:rFonts w:ascii="Times New Roman" w:hAnsi="Times New Roman" w:cs="Times New Roman"/>
          </w:rPr>
          <w:instrText>PAGE   \* MERGEFORMAT</w:instrText>
        </w:r>
        <w:r w:rsidRPr="00DB6F0D">
          <w:rPr>
            <w:rFonts w:ascii="Times New Roman" w:hAnsi="Times New Roman" w:cs="Times New Roman"/>
          </w:rPr>
          <w:fldChar w:fldCharType="separate"/>
        </w:r>
        <w:r w:rsidR="00623C41">
          <w:rPr>
            <w:rFonts w:ascii="Times New Roman" w:hAnsi="Times New Roman" w:cs="Times New Roman"/>
            <w:noProof/>
          </w:rPr>
          <w:t>5</w:t>
        </w:r>
        <w:r w:rsidRPr="00DB6F0D">
          <w:rPr>
            <w:rFonts w:ascii="Times New Roman" w:hAnsi="Times New Roman" w:cs="Times New Roman"/>
          </w:rPr>
          <w:fldChar w:fldCharType="end"/>
        </w:r>
      </w:p>
    </w:sdtContent>
  </w:sdt>
  <w:p w14:paraId="6C48B136" w14:textId="77777777" w:rsidR="00866620" w:rsidRPr="00DB6F0D" w:rsidRDefault="00866620">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9538" w14:textId="77777777" w:rsidR="00866620" w:rsidRDefault="0086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6F8B" w14:textId="77777777" w:rsidR="00B637DE" w:rsidRDefault="00B637DE" w:rsidP="009151F0">
      <w:pPr>
        <w:spacing w:after="0" w:line="240" w:lineRule="auto"/>
      </w:pPr>
      <w:r>
        <w:separator/>
      </w:r>
    </w:p>
  </w:footnote>
  <w:footnote w:type="continuationSeparator" w:id="0">
    <w:p w14:paraId="0C6E1855" w14:textId="77777777" w:rsidR="00B637DE" w:rsidRDefault="00B637DE" w:rsidP="009151F0">
      <w:pPr>
        <w:spacing w:after="0" w:line="240" w:lineRule="auto"/>
      </w:pPr>
      <w:r>
        <w:continuationSeparator/>
      </w:r>
    </w:p>
  </w:footnote>
  <w:footnote w:id="1">
    <w:p w14:paraId="0B833504" w14:textId="7073FF55" w:rsidR="00866620" w:rsidRPr="00727C80" w:rsidRDefault="00866620" w:rsidP="009151F0">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Szerzej opisana w części 2. opracowania.</w:t>
      </w:r>
    </w:p>
  </w:footnote>
  <w:footnote w:id="2">
    <w:p w14:paraId="6EBAE418" w14:textId="62B1BF83" w:rsidR="00866620" w:rsidRPr="00727C80" w:rsidRDefault="00866620" w:rsidP="00CB7564">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w:t>
      </w:r>
      <w:r w:rsidR="000F529B" w:rsidRPr="00727C80">
        <w:rPr>
          <w:rFonts w:ascii="Times New Roman" w:hAnsi="Times New Roman" w:cs="Times New Roman"/>
        </w:rPr>
        <w:t xml:space="preserve">Dla </w:t>
      </w:r>
      <w:r w:rsidRPr="00727C80">
        <w:rPr>
          <w:rFonts w:ascii="Times New Roman" w:hAnsi="Times New Roman" w:cs="Times New Roman"/>
        </w:rPr>
        <w:t>20</w:t>
      </w:r>
      <w:r w:rsidR="000F529B" w:rsidRPr="00727C80">
        <w:rPr>
          <w:rFonts w:ascii="Times New Roman" w:hAnsi="Times New Roman" w:cs="Times New Roman"/>
        </w:rPr>
        <w:t>1</w:t>
      </w:r>
      <w:r w:rsidRPr="00727C80">
        <w:rPr>
          <w:rFonts w:ascii="Times New Roman" w:hAnsi="Times New Roman" w:cs="Times New Roman"/>
        </w:rPr>
        <w:t>0 r. wskaźnik</w:t>
      </w:r>
      <w:r w:rsidR="000F529B" w:rsidRPr="00727C80">
        <w:rPr>
          <w:rFonts w:ascii="Times New Roman" w:hAnsi="Times New Roman" w:cs="Times New Roman"/>
        </w:rPr>
        <w:t xml:space="preserve"> deprywacji materialnej (por. </w:t>
      </w:r>
      <w:r w:rsidRPr="00727C80">
        <w:rPr>
          <w:rFonts w:ascii="Times New Roman" w:hAnsi="Times New Roman" w:cs="Times New Roman"/>
        </w:rPr>
        <w:t xml:space="preserve"> </w:t>
      </w:r>
      <w:r w:rsidR="000F529B" w:rsidRPr="00727C80">
        <w:rPr>
          <w:rFonts w:ascii="Times New Roman" w:hAnsi="Times New Roman" w:cs="Times New Roman"/>
        </w:rPr>
        <w:t>Aneks, część X1.2 w Tabeli A.1</w:t>
      </w:r>
      <w:r w:rsidRPr="00727C80">
        <w:rPr>
          <w:rFonts w:ascii="Times New Roman" w:hAnsi="Times New Roman" w:cs="Times New Roman"/>
        </w:rPr>
        <w:t>).</w:t>
      </w:r>
    </w:p>
  </w:footnote>
  <w:footnote w:id="3">
    <w:p w14:paraId="4EF29226" w14:textId="7D5D5060" w:rsidR="00866620" w:rsidRPr="00727C80" w:rsidRDefault="00866620" w:rsidP="004425C6">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Ze względu na brak danych do obliczeń wskaźnika mediany płac dla 202</w:t>
      </w:r>
      <w:r w:rsidR="009B2D4F" w:rsidRPr="00727C80">
        <w:rPr>
          <w:rFonts w:ascii="Times New Roman" w:hAnsi="Times New Roman" w:cs="Times New Roman"/>
        </w:rPr>
        <w:t>2</w:t>
      </w:r>
      <w:r w:rsidRPr="00727C80">
        <w:rPr>
          <w:rFonts w:ascii="Times New Roman" w:hAnsi="Times New Roman" w:cs="Times New Roman"/>
        </w:rPr>
        <w:t xml:space="preserve"> r. przyjęto wartości tych wskaźników z 2020 r.</w:t>
      </w:r>
      <w:r w:rsidR="009B2D4F" w:rsidRPr="00727C80">
        <w:rPr>
          <w:rFonts w:ascii="Times New Roman" w:hAnsi="Times New Roman" w:cs="Times New Roman"/>
        </w:rPr>
        <w:t xml:space="preserve">, a w przypadku wskaźnika równości płci – z 2021 r. </w:t>
      </w:r>
    </w:p>
  </w:footnote>
  <w:footnote w:id="4">
    <w:p w14:paraId="054DF5A5" w14:textId="1D099A27" w:rsidR="00866620" w:rsidRPr="00727C80" w:rsidRDefault="00866620" w:rsidP="0077028B">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Ze względu na brak danych do obliczeń wskaźnika  wyposażenia mieszkań w instalacje dla 2021 r., przyjęto ich wartości z 2020 r.</w:t>
      </w:r>
      <w:r w:rsidR="007B5C28" w:rsidRPr="00727C80">
        <w:rPr>
          <w:rFonts w:ascii="Times New Roman" w:hAnsi="Times New Roman" w:cs="Times New Roman"/>
        </w:rPr>
        <w:t xml:space="preserve">, a dla wskaźnika problemy </w:t>
      </w:r>
      <w:r w:rsidR="00C02A8C" w:rsidRPr="00727C80">
        <w:rPr>
          <w:rFonts w:ascii="Times New Roman" w:hAnsi="Times New Roman" w:cs="Times New Roman"/>
        </w:rPr>
        <w:t xml:space="preserve">środowiskowe </w:t>
      </w:r>
      <w:r w:rsidR="007B5C28" w:rsidRPr="00727C80">
        <w:rPr>
          <w:rFonts w:ascii="Times New Roman" w:hAnsi="Times New Roman" w:cs="Times New Roman"/>
        </w:rPr>
        <w:t>dla 2021 r. z 2022 r.</w:t>
      </w:r>
    </w:p>
  </w:footnote>
  <w:footnote w:id="5">
    <w:p w14:paraId="79B79B5D" w14:textId="25B60E68" w:rsidR="00866620" w:rsidRPr="00727C80" w:rsidRDefault="00866620" w:rsidP="00E51A8E">
      <w:pPr>
        <w:pStyle w:val="FootnoteText"/>
        <w:rPr>
          <w:rFonts w:ascii="Times New Roman" w:hAnsi="Times New Roman" w:cs="Times New Roman"/>
        </w:rPr>
      </w:pPr>
      <w:r w:rsidRPr="00242DAD">
        <w:rPr>
          <w:rStyle w:val="FootnoteReference"/>
          <w:rFonts w:ascii="Times New Roman" w:hAnsi="Times New Roman" w:cs="Times New Roman"/>
        </w:rPr>
        <w:footnoteRef/>
      </w:r>
      <w:r w:rsidRPr="00242DAD">
        <w:rPr>
          <w:rFonts w:ascii="Times New Roman" w:hAnsi="Times New Roman" w:cs="Times New Roman"/>
        </w:rPr>
        <w:t xml:space="preserve"> Ze względu na brak danych do obliczeń wskaźnika </w:t>
      </w:r>
      <w:r w:rsidR="00371241" w:rsidRPr="00242DAD">
        <w:rPr>
          <w:rFonts w:ascii="Times New Roman" w:hAnsi="Times New Roman" w:cs="Times New Roman"/>
        </w:rPr>
        <w:t>zgonów możliwych do uniknięcia</w:t>
      </w:r>
      <w:r w:rsidRPr="00242DAD">
        <w:rPr>
          <w:rFonts w:ascii="Times New Roman" w:hAnsi="Times New Roman" w:cs="Times New Roman"/>
        </w:rPr>
        <w:t xml:space="preserve"> dla 202</w:t>
      </w:r>
      <w:r w:rsidR="00371241" w:rsidRPr="00242DAD">
        <w:rPr>
          <w:rFonts w:ascii="Times New Roman" w:hAnsi="Times New Roman" w:cs="Times New Roman"/>
        </w:rPr>
        <w:t>2</w:t>
      </w:r>
      <w:r w:rsidRPr="00242DAD">
        <w:rPr>
          <w:rFonts w:ascii="Times New Roman" w:hAnsi="Times New Roman" w:cs="Times New Roman"/>
        </w:rPr>
        <w:t xml:space="preserve"> r., przyjęto jego wartości z 202</w:t>
      </w:r>
      <w:r w:rsidR="00371241" w:rsidRPr="00242DAD">
        <w:rPr>
          <w:rFonts w:ascii="Times New Roman" w:hAnsi="Times New Roman" w:cs="Times New Roman"/>
        </w:rPr>
        <w:t>1</w:t>
      </w:r>
      <w:r w:rsidRPr="00242DAD">
        <w:rPr>
          <w:rFonts w:ascii="Times New Roman" w:hAnsi="Times New Roman" w:cs="Times New Roman"/>
        </w:rPr>
        <w:t> r.</w:t>
      </w:r>
    </w:p>
  </w:footnote>
  <w:footnote w:id="6">
    <w:p w14:paraId="30091099" w14:textId="0B6CB631" w:rsidR="00E877ED" w:rsidRPr="00727C80" w:rsidRDefault="00E877ED">
      <w:pPr>
        <w:pStyle w:val="FootnoteText"/>
        <w:rPr>
          <w:rFonts w:ascii="Times New Roman" w:hAnsi="Times New Roman" w:cs="Times New Roman"/>
        </w:rPr>
      </w:pPr>
      <w:r w:rsidRPr="00242DAD">
        <w:rPr>
          <w:rStyle w:val="FootnoteReference"/>
          <w:rFonts w:ascii="Times New Roman" w:hAnsi="Times New Roman" w:cs="Times New Roman"/>
        </w:rPr>
        <w:footnoteRef/>
      </w:r>
      <w:r w:rsidRPr="00242DAD">
        <w:rPr>
          <w:rFonts w:ascii="Times New Roman" w:hAnsi="Times New Roman" w:cs="Times New Roman"/>
        </w:rPr>
        <w:t xml:space="preserve"> Ze względu na brak danych do obliczeń wskaźnika </w:t>
      </w:r>
      <w:r w:rsidR="006D3745" w:rsidRPr="00242DAD">
        <w:rPr>
          <w:rFonts w:ascii="Times New Roman" w:hAnsi="Times New Roman" w:cs="Times New Roman"/>
        </w:rPr>
        <w:t>zużycia wody</w:t>
      </w:r>
      <w:r w:rsidRPr="00242DAD">
        <w:rPr>
          <w:rFonts w:ascii="Times New Roman" w:hAnsi="Times New Roman" w:cs="Times New Roman"/>
        </w:rPr>
        <w:t xml:space="preserve"> dla 2022 r., przyjęto jego wartości z 2021 r.</w:t>
      </w:r>
    </w:p>
  </w:footnote>
  <w:footnote w:id="7">
    <w:p w14:paraId="25473446" w14:textId="77777777" w:rsidR="00866620" w:rsidRPr="00727C80" w:rsidRDefault="00866620" w:rsidP="00BF0B60">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Końcowe zużycie energii brutto liczone jest jako energia zużyta przez odbiorców końcowych (końcowe zużycie energii) plus straty sieciowe i zużycie własne elektrowni.</w:t>
      </w:r>
    </w:p>
  </w:footnote>
  <w:footnote w:id="8">
    <w:p w14:paraId="687B5136" w14:textId="3F81F08E" w:rsidR="00866620" w:rsidRPr="00727C80" w:rsidRDefault="00866620" w:rsidP="00291F77">
      <w:pPr>
        <w:pStyle w:val="FootnoteText"/>
        <w:rPr>
          <w:rFonts w:ascii="Times New Roman" w:hAnsi="Times New Roman" w:cs="Times New Roman"/>
        </w:rPr>
      </w:pPr>
      <w:r w:rsidRPr="00727C80">
        <w:rPr>
          <w:rStyle w:val="FootnoteReference"/>
          <w:rFonts w:ascii="Times New Roman" w:hAnsi="Times New Roman" w:cs="Times New Roman"/>
        </w:rPr>
        <w:footnoteRef/>
      </w:r>
      <w:r w:rsidRPr="00727C80">
        <w:rPr>
          <w:rFonts w:ascii="Times New Roman" w:hAnsi="Times New Roman" w:cs="Times New Roman"/>
        </w:rPr>
        <w:t xml:space="preserve"> Ze względu na brak danych do obliczeń wskaźnika emisja cząstek stałych dla</w:t>
      </w:r>
      <w:r w:rsidR="00F16A07">
        <w:rPr>
          <w:rFonts w:ascii="Times New Roman" w:hAnsi="Times New Roman" w:cs="Times New Roman"/>
        </w:rPr>
        <w:t xml:space="preserve"> 2021 i</w:t>
      </w:r>
      <w:r w:rsidRPr="00727C80">
        <w:rPr>
          <w:rFonts w:ascii="Times New Roman" w:hAnsi="Times New Roman" w:cs="Times New Roman"/>
        </w:rPr>
        <w:t xml:space="preserve"> 202</w:t>
      </w:r>
      <w:r w:rsidR="00F510D1">
        <w:rPr>
          <w:rFonts w:ascii="Times New Roman" w:hAnsi="Times New Roman" w:cs="Times New Roman"/>
        </w:rPr>
        <w:t>2</w:t>
      </w:r>
      <w:r w:rsidRPr="00727C80">
        <w:rPr>
          <w:rFonts w:ascii="Times New Roman" w:hAnsi="Times New Roman" w:cs="Times New Roman"/>
        </w:rPr>
        <w:t xml:space="preserve"> r., przyjęto jego wartości z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890D" w14:textId="77777777" w:rsidR="00866620" w:rsidRDefault="00866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8505" w14:textId="77777777" w:rsidR="00866620" w:rsidRDefault="00866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81FD" w14:textId="77777777" w:rsidR="00866620" w:rsidRDefault="0086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4CA"/>
    <w:multiLevelType w:val="hybridMultilevel"/>
    <w:tmpl w:val="7A9292CC"/>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8E25C7B"/>
    <w:multiLevelType w:val="hybridMultilevel"/>
    <w:tmpl w:val="D58ABC9E"/>
    <w:lvl w:ilvl="0" w:tplc="EED61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D0327B1"/>
    <w:multiLevelType w:val="hybridMultilevel"/>
    <w:tmpl w:val="07662446"/>
    <w:lvl w:ilvl="0" w:tplc="EED618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65059D9"/>
    <w:multiLevelType w:val="hybridMultilevel"/>
    <w:tmpl w:val="37D09C1A"/>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4" w15:restartNumberingAfterBreak="0">
    <w:nsid w:val="3E3534CF"/>
    <w:multiLevelType w:val="multilevel"/>
    <w:tmpl w:val="6E369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BA61A5"/>
    <w:multiLevelType w:val="hybridMultilevel"/>
    <w:tmpl w:val="E0A6C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1217"/>
    <w:multiLevelType w:val="hybridMultilevel"/>
    <w:tmpl w:val="8B0CC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8047E1"/>
    <w:multiLevelType w:val="hybridMultilevel"/>
    <w:tmpl w:val="3844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F40BD4"/>
    <w:multiLevelType w:val="multilevel"/>
    <w:tmpl w:val="6E369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1542F9"/>
    <w:multiLevelType w:val="hybridMultilevel"/>
    <w:tmpl w:val="D79E6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FDC612E"/>
    <w:multiLevelType w:val="multilevel"/>
    <w:tmpl w:val="6E369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97973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612446">
    <w:abstractNumId w:val="3"/>
  </w:num>
  <w:num w:numId="3" w16cid:durableId="1679112950">
    <w:abstractNumId w:val="2"/>
  </w:num>
  <w:num w:numId="4" w16cid:durableId="1721513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286512">
    <w:abstractNumId w:val="1"/>
  </w:num>
  <w:num w:numId="6" w16cid:durableId="1909680565">
    <w:abstractNumId w:val="8"/>
  </w:num>
  <w:num w:numId="7" w16cid:durableId="316768102">
    <w:abstractNumId w:val="5"/>
  </w:num>
  <w:num w:numId="8" w16cid:durableId="61149843">
    <w:abstractNumId w:val="6"/>
  </w:num>
  <w:num w:numId="9" w16cid:durableId="1334066960">
    <w:abstractNumId w:val="1"/>
  </w:num>
  <w:num w:numId="10" w16cid:durableId="800879717">
    <w:abstractNumId w:val="0"/>
  </w:num>
  <w:num w:numId="11" w16cid:durableId="950747641">
    <w:abstractNumId w:val="7"/>
  </w:num>
  <w:num w:numId="12" w16cid:durableId="980385715">
    <w:abstractNumId w:val="4"/>
  </w:num>
  <w:num w:numId="13" w16cid:durableId="1811047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AF"/>
    <w:rsid w:val="00001927"/>
    <w:rsid w:val="00003F27"/>
    <w:rsid w:val="000073DA"/>
    <w:rsid w:val="00012656"/>
    <w:rsid w:val="00017B36"/>
    <w:rsid w:val="00023737"/>
    <w:rsid w:val="00023799"/>
    <w:rsid w:val="00023DAF"/>
    <w:rsid w:val="0003371A"/>
    <w:rsid w:val="000403F3"/>
    <w:rsid w:val="00041632"/>
    <w:rsid w:val="00046D21"/>
    <w:rsid w:val="000561AD"/>
    <w:rsid w:val="00057233"/>
    <w:rsid w:val="000575AC"/>
    <w:rsid w:val="000622FD"/>
    <w:rsid w:val="0007125A"/>
    <w:rsid w:val="000733A8"/>
    <w:rsid w:val="00076DDB"/>
    <w:rsid w:val="000850E1"/>
    <w:rsid w:val="000903B2"/>
    <w:rsid w:val="00090B2F"/>
    <w:rsid w:val="000945CC"/>
    <w:rsid w:val="000A6A12"/>
    <w:rsid w:val="000B181C"/>
    <w:rsid w:val="000B643F"/>
    <w:rsid w:val="000B6955"/>
    <w:rsid w:val="000C695A"/>
    <w:rsid w:val="000D1029"/>
    <w:rsid w:val="000D1F33"/>
    <w:rsid w:val="000E20DE"/>
    <w:rsid w:val="000E3169"/>
    <w:rsid w:val="000E3869"/>
    <w:rsid w:val="000F104C"/>
    <w:rsid w:val="000F529B"/>
    <w:rsid w:val="00102CC5"/>
    <w:rsid w:val="001036C3"/>
    <w:rsid w:val="00116C03"/>
    <w:rsid w:val="001210F2"/>
    <w:rsid w:val="0012287C"/>
    <w:rsid w:val="00126757"/>
    <w:rsid w:val="00126969"/>
    <w:rsid w:val="001271B9"/>
    <w:rsid w:val="00130D8E"/>
    <w:rsid w:val="00136C8C"/>
    <w:rsid w:val="00137BC4"/>
    <w:rsid w:val="00146222"/>
    <w:rsid w:val="001526B8"/>
    <w:rsid w:val="00156FC1"/>
    <w:rsid w:val="001618FA"/>
    <w:rsid w:val="00161C8C"/>
    <w:rsid w:val="001625F9"/>
    <w:rsid w:val="00167CB0"/>
    <w:rsid w:val="00177701"/>
    <w:rsid w:val="00180FD4"/>
    <w:rsid w:val="001916FE"/>
    <w:rsid w:val="00196357"/>
    <w:rsid w:val="001966BC"/>
    <w:rsid w:val="001B4C1D"/>
    <w:rsid w:val="001C6B9E"/>
    <w:rsid w:val="001D0EBC"/>
    <w:rsid w:val="001D1F8A"/>
    <w:rsid w:val="001D56DB"/>
    <w:rsid w:val="001D76FC"/>
    <w:rsid w:val="001E372C"/>
    <w:rsid w:val="001E3D05"/>
    <w:rsid w:val="001E48F0"/>
    <w:rsid w:val="001E7CEE"/>
    <w:rsid w:val="001F5DFC"/>
    <w:rsid w:val="00206B34"/>
    <w:rsid w:val="002135A9"/>
    <w:rsid w:val="002154B2"/>
    <w:rsid w:val="00215EA6"/>
    <w:rsid w:val="00221ECC"/>
    <w:rsid w:val="0022239A"/>
    <w:rsid w:val="00225883"/>
    <w:rsid w:val="00226920"/>
    <w:rsid w:val="0022762F"/>
    <w:rsid w:val="00233AC5"/>
    <w:rsid w:val="00235BA9"/>
    <w:rsid w:val="00241448"/>
    <w:rsid w:val="002416D0"/>
    <w:rsid w:val="002420F4"/>
    <w:rsid w:val="00242DAD"/>
    <w:rsid w:val="00243A00"/>
    <w:rsid w:val="00245BD1"/>
    <w:rsid w:val="00251D3F"/>
    <w:rsid w:val="002532BB"/>
    <w:rsid w:val="002551AB"/>
    <w:rsid w:val="002572FD"/>
    <w:rsid w:val="00264F4D"/>
    <w:rsid w:val="00265029"/>
    <w:rsid w:val="0026598C"/>
    <w:rsid w:val="00272A23"/>
    <w:rsid w:val="00273688"/>
    <w:rsid w:val="00284396"/>
    <w:rsid w:val="0028493C"/>
    <w:rsid w:val="00285EBB"/>
    <w:rsid w:val="00287F9D"/>
    <w:rsid w:val="00291F77"/>
    <w:rsid w:val="002920FA"/>
    <w:rsid w:val="002A0B56"/>
    <w:rsid w:val="002A3378"/>
    <w:rsid w:val="002B3F00"/>
    <w:rsid w:val="002C09E4"/>
    <w:rsid w:val="002C0C4E"/>
    <w:rsid w:val="002C17F3"/>
    <w:rsid w:val="002C1A2A"/>
    <w:rsid w:val="002C286D"/>
    <w:rsid w:val="002C33C5"/>
    <w:rsid w:val="002D2128"/>
    <w:rsid w:val="002E23AE"/>
    <w:rsid w:val="002E4ABE"/>
    <w:rsid w:val="002F42B4"/>
    <w:rsid w:val="003009CA"/>
    <w:rsid w:val="00303231"/>
    <w:rsid w:val="00306253"/>
    <w:rsid w:val="003120D6"/>
    <w:rsid w:val="003123A4"/>
    <w:rsid w:val="0031470A"/>
    <w:rsid w:val="00315118"/>
    <w:rsid w:val="0032304C"/>
    <w:rsid w:val="0032568A"/>
    <w:rsid w:val="00326788"/>
    <w:rsid w:val="00330D26"/>
    <w:rsid w:val="00334DB6"/>
    <w:rsid w:val="003367F4"/>
    <w:rsid w:val="0034326F"/>
    <w:rsid w:val="00347300"/>
    <w:rsid w:val="00355ED6"/>
    <w:rsid w:val="00366AAC"/>
    <w:rsid w:val="00367B03"/>
    <w:rsid w:val="00371241"/>
    <w:rsid w:val="00382D9D"/>
    <w:rsid w:val="003839D0"/>
    <w:rsid w:val="00390960"/>
    <w:rsid w:val="00392B71"/>
    <w:rsid w:val="003946AA"/>
    <w:rsid w:val="0039692B"/>
    <w:rsid w:val="003B6DDE"/>
    <w:rsid w:val="003C5901"/>
    <w:rsid w:val="003C660F"/>
    <w:rsid w:val="003D3162"/>
    <w:rsid w:val="003E00AF"/>
    <w:rsid w:val="003E48FE"/>
    <w:rsid w:val="003E7ADF"/>
    <w:rsid w:val="003F5479"/>
    <w:rsid w:val="0040590D"/>
    <w:rsid w:val="004059DF"/>
    <w:rsid w:val="00410327"/>
    <w:rsid w:val="00415BDE"/>
    <w:rsid w:val="0042078B"/>
    <w:rsid w:val="004254C0"/>
    <w:rsid w:val="004265B0"/>
    <w:rsid w:val="0043132A"/>
    <w:rsid w:val="00432FD5"/>
    <w:rsid w:val="00433196"/>
    <w:rsid w:val="0043350C"/>
    <w:rsid w:val="00433AAB"/>
    <w:rsid w:val="00434846"/>
    <w:rsid w:val="004425C6"/>
    <w:rsid w:val="00445AE6"/>
    <w:rsid w:val="0045217C"/>
    <w:rsid w:val="004622BA"/>
    <w:rsid w:val="0046423A"/>
    <w:rsid w:val="0046447C"/>
    <w:rsid w:val="00470B9C"/>
    <w:rsid w:val="00477C57"/>
    <w:rsid w:val="00482721"/>
    <w:rsid w:val="00486336"/>
    <w:rsid w:val="004935E9"/>
    <w:rsid w:val="00497769"/>
    <w:rsid w:val="004A2734"/>
    <w:rsid w:val="004A78B3"/>
    <w:rsid w:val="004A7D0A"/>
    <w:rsid w:val="004B695D"/>
    <w:rsid w:val="004C0C1F"/>
    <w:rsid w:val="004C4CEE"/>
    <w:rsid w:val="004D15F7"/>
    <w:rsid w:val="004D5A06"/>
    <w:rsid w:val="004F02B1"/>
    <w:rsid w:val="004F0D12"/>
    <w:rsid w:val="004F2412"/>
    <w:rsid w:val="004F278D"/>
    <w:rsid w:val="004F788F"/>
    <w:rsid w:val="004F795C"/>
    <w:rsid w:val="005017C3"/>
    <w:rsid w:val="00503844"/>
    <w:rsid w:val="005105E9"/>
    <w:rsid w:val="005115FA"/>
    <w:rsid w:val="00512300"/>
    <w:rsid w:val="005124D5"/>
    <w:rsid w:val="0051588D"/>
    <w:rsid w:val="00517A4E"/>
    <w:rsid w:val="00521001"/>
    <w:rsid w:val="0052570B"/>
    <w:rsid w:val="00527DCD"/>
    <w:rsid w:val="00534A2E"/>
    <w:rsid w:val="00536D1A"/>
    <w:rsid w:val="00536E2B"/>
    <w:rsid w:val="00540BE4"/>
    <w:rsid w:val="00554FCC"/>
    <w:rsid w:val="00560B50"/>
    <w:rsid w:val="00577B7F"/>
    <w:rsid w:val="00581CA2"/>
    <w:rsid w:val="00583E78"/>
    <w:rsid w:val="00584691"/>
    <w:rsid w:val="00586669"/>
    <w:rsid w:val="00587470"/>
    <w:rsid w:val="005901EA"/>
    <w:rsid w:val="00594F0E"/>
    <w:rsid w:val="005B1B67"/>
    <w:rsid w:val="005B3AAE"/>
    <w:rsid w:val="005D09AE"/>
    <w:rsid w:val="005D5D61"/>
    <w:rsid w:val="005D667C"/>
    <w:rsid w:val="005F7FC6"/>
    <w:rsid w:val="006002A1"/>
    <w:rsid w:val="0060439C"/>
    <w:rsid w:val="00606347"/>
    <w:rsid w:val="0060793E"/>
    <w:rsid w:val="006114E7"/>
    <w:rsid w:val="00612D17"/>
    <w:rsid w:val="00622B7F"/>
    <w:rsid w:val="00623C41"/>
    <w:rsid w:val="0062513A"/>
    <w:rsid w:val="006422CD"/>
    <w:rsid w:val="006432F7"/>
    <w:rsid w:val="006602C6"/>
    <w:rsid w:val="00665DE6"/>
    <w:rsid w:val="0067105A"/>
    <w:rsid w:val="00671C0F"/>
    <w:rsid w:val="00672335"/>
    <w:rsid w:val="00672CBC"/>
    <w:rsid w:val="00675996"/>
    <w:rsid w:val="0068237D"/>
    <w:rsid w:val="00692F87"/>
    <w:rsid w:val="0069470E"/>
    <w:rsid w:val="00694DB2"/>
    <w:rsid w:val="00695EB0"/>
    <w:rsid w:val="006A0E1A"/>
    <w:rsid w:val="006A6709"/>
    <w:rsid w:val="006A6ED6"/>
    <w:rsid w:val="006B1B39"/>
    <w:rsid w:val="006B1C47"/>
    <w:rsid w:val="006B777F"/>
    <w:rsid w:val="006C3205"/>
    <w:rsid w:val="006C56B2"/>
    <w:rsid w:val="006C6642"/>
    <w:rsid w:val="006D133C"/>
    <w:rsid w:val="006D3745"/>
    <w:rsid w:val="006D4F63"/>
    <w:rsid w:val="006D5205"/>
    <w:rsid w:val="006F05E0"/>
    <w:rsid w:val="006F5881"/>
    <w:rsid w:val="006F5F8A"/>
    <w:rsid w:val="00712D84"/>
    <w:rsid w:val="00714466"/>
    <w:rsid w:val="007149A5"/>
    <w:rsid w:val="00715EA6"/>
    <w:rsid w:val="00721859"/>
    <w:rsid w:val="00723BDD"/>
    <w:rsid w:val="00727C80"/>
    <w:rsid w:val="00736A5E"/>
    <w:rsid w:val="00747F35"/>
    <w:rsid w:val="00753DCE"/>
    <w:rsid w:val="00762900"/>
    <w:rsid w:val="0076292E"/>
    <w:rsid w:val="007656A2"/>
    <w:rsid w:val="0077028B"/>
    <w:rsid w:val="00776085"/>
    <w:rsid w:val="00784BB1"/>
    <w:rsid w:val="00796096"/>
    <w:rsid w:val="007962DA"/>
    <w:rsid w:val="00797BFD"/>
    <w:rsid w:val="007A2F09"/>
    <w:rsid w:val="007A4025"/>
    <w:rsid w:val="007A59C1"/>
    <w:rsid w:val="007B565E"/>
    <w:rsid w:val="007B5C28"/>
    <w:rsid w:val="007C30F1"/>
    <w:rsid w:val="007C3F97"/>
    <w:rsid w:val="007C571C"/>
    <w:rsid w:val="007D40E9"/>
    <w:rsid w:val="007D4FFD"/>
    <w:rsid w:val="007E0EBA"/>
    <w:rsid w:val="007F1B71"/>
    <w:rsid w:val="007F391A"/>
    <w:rsid w:val="00802423"/>
    <w:rsid w:val="0080717B"/>
    <w:rsid w:val="00811C99"/>
    <w:rsid w:val="0081769E"/>
    <w:rsid w:val="00825FCB"/>
    <w:rsid w:val="00834E89"/>
    <w:rsid w:val="008379C2"/>
    <w:rsid w:val="008429BA"/>
    <w:rsid w:val="00844F49"/>
    <w:rsid w:val="0085059A"/>
    <w:rsid w:val="00853B88"/>
    <w:rsid w:val="00855E6F"/>
    <w:rsid w:val="008612F1"/>
    <w:rsid w:val="0086174E"/>
    <w:rsid w:val="0086535E"/>
    <w:rsid w:val="00866620"/>
    <w:rsid w:val="00871E8B"/>
    <w:rsid w:val="0087546B"/>
    <w:rsid w:val="00877854"/>
    <w:rsid w:val="008927A0"/>
    <w:rsid w:val="008A0792"/>
    <w:rsid w:val="008A0CEF"/>
    <w:rsid w:val="008A2901"/>
    <w:rsid w:val="008B32CF"/>
    <w:rsid w:val="008B5D44"/>
    <w:rsid w:val="008C4D90"/>
    <w:rsid w:val="008C590B"/>
    <w:rsid w:val="008C6C3C"/>
    <w:rsid w:val="008C72DD"/>
    <w:rsid w:val="008C7976"/>
    <w:rsid w:val="008D4EA9"/>
    <w:rsid w:val="008D5488"/>
    <w:rsid w:val="008D68A6"/>
    <w:rsid w:val="008D7855"/>
    <w:rsid w:val="008E06C9"/>
    <w:rsid w:val="008E57D6"/>
    <w:rsid w:val="008E6A37"/>
    <w:rsid w:val="008F1E63"/>
    <w:rsid w:val="009069CA"/>
    <w:rsid w:val="0091284C"/>
    <w:rsid w:val="009151F0"/>
    <w:rsid w:val="00916EC1"/>
    <w:rsid w:val="0092113E"/>
    <w:rsid w:val="009227B0"/>
    <w:rsid w:val="00927916"/>
    <w:rsid w:val="0094395D"/>
    <w:rsid w:val="00943AB0"/>
    <w:rsid w:val="00945E40"/>
    <w:rsid w:val="009465EA"/>
    <w:rsid w:val="00950D05"/>
    <w:rsid w:val="009530AA"/>
    <w:rsid w:val="00966D0D"/>
    <w:rsid w:val="009707CF"/>
    <w:rsid w:val="00973BCC"/>
    <w:rsid w:val="00977FC0"/>
    <w:rsid w:val="009926D3"/>
    <w:rsid w:val="00992955"/>
    <w:rsid w:val="009A0AA0"/>
    <w:rsid w:val="009A100A"/>
    <w:rsid w:val="009B1C4F"/>
    <w:rsid w:val="009B2AAE"/>
    <w:rsid w:val="009B2D4F"/>
    <w:rsid w:val="009B4EAA"/>
    <w:rsid w:val="009B5EFC"/>
    <w:rsid w:val="009C059D"/>
    <w:rsid w:val="009C5A9F"/>
    <w:rsid w:val="009E26F7"/>
    <w:rsid w:val="009E278F"/>
    <w:rsid w:val="009E7E1B"/>
    <w:rsid w:val="009F2562"/>
    <w:rsid w:val="00A0211F"/>
    <w:rsid w:val="00A035C0"/>
    <w:rsid w:val="00A05EA4"/>
    <w:rsid w:val="00A06AE1"/>
    <w:rsid w:val="00A1382E"/>
    <w:rsid w:val="00A13FEF"/>
    <w:rsid w:val="00A21C9B"/>
    <w:rsid w:val="00A21E1B"/>
    <w:rsid w:val="00A23012"/>
    <w:rsid w:val="00A23FD3"/>
    <w:rsid w:val="00A26B02"/>
    <w:rsid w:val="00A42709"/>
    <w:rsid w:val="00A52791"/>
    <w:rsid w:val="00A55716"/>
    <w:rsid w:val="00A60342"/>
    <w:rsid w:val="00A61DE2"/>
    <w:rsid w:val="00A66EBD"/>
    <w:rsid w:val="00A71013"/>
    <w:rsid w:val="00A8077C"/>
    <w:rsid w:val="00A82343"/>
    <w:rsid w:val="00A90E56"/>
    <w:rsid w:val="00A916C2"/>
    <w:rsid w:val="00A966B9"/>
    <w:rsid w:val="00AA1C35"/>
    <w:rsid w:val="00AA6816"/>
    <w:rsid w:val="00AB26C1"/>
    <w:rsid w:val="00AB284D"/>
    <w:rsid w:val="00AB73C5"/>
    <w:rsid w:val="00AD62EE"/>
    <w:rsid w:val="00AE1A22"/>
    <w:rsid w:val="00AE6014"/>
    <w:rsid w:val="00AE71F0"/>
    <w:rsid w:val="00AF22DE"/>
    <w:rsid w:val="00B050D2"/>
    <w:rsid w:val="00B1186C"/>
    <w:rsid w:val="00B143C6"/>
    <w:rsid w:val="00B15DA7"/>
    <w:rsid w:val="00B17DE4"/>
    <w:rsid w:val="00B21C20"/>
    <w:rsid w:val="00B25AC2"/>
    <w:rsid w:val="00B269FF"/>
    <w:rsid w:val="00B30D0A"/>
    <w:rsid w:val="00B34856"/>
    <w:rsid w:val="00B34E28"/>
    <w:rsid w:val="00B3547F"/>
    <w:rsid w:val="00B406F8"/>
    <w:rsid w:val="00B41C82"/>
    <w:rsid w:val="00B47157"/>
    <w:rsid w:val="00B47F5B"/>
    <w:rsid w:val="00B50BC1"/>
    <w:rsid w:val="00B51E7A"/>
    <w:rsid w:val="00B5386C"/>
    <w:rsid w:val="00B60516"/>
    <w:rsid w:val="00B61213"/>
    <w:rsid w:val="00B637DE"/>
    <w:rsid w:val="00B64952"/>
    <w:rsid w:val="00B73D0F"/>
    <w:rsid w:val="00B74E06"/>
    <w:rsid w:val="00B7545F"/>
    <w:rsid w:val="00B76CF5"/>
    <w:rsid w:val="00B824AA"/>
    <w:rsid w:val="00B84D53"/>
    <w:rsid w:val="00B92595"/>
    <w:rsid w:val="00B97BE1"/>
    <w:rsid w:val="00BA1761"/>
    <w:rsid w:val="00BA4D79"/>
    <w:rsid w:val="00BA5449"/>
    <w:rsid w:val="00BA597B"/>
    <w:rsid w:val="00BB3E63"/>
    <w:rsid w:val="00BC269F"/>
    <w:rsid w:val="00BC3CFE"/>
    <w:rsid w:val="00BD160E"/>
    <w:rsid w:val="00BD19DC"/>
    <w:rsid w:val="00BD3216"/>
    <w:rsid w:val="00BD44EF"/>
    <w:rsid w:val="00BD51D8"/>
    <w:rsid w:val="00BD5368"/>
    <w:rsid w:val="00BD6A1E"/>
    <w:rsid w:val="00BE1966"/>
    <w:rsid w:val="00BF0B60"/>
    <w:rsid w:val="00BF1756"/>
    <w:rsid w:val="00BF2C40"/>
    <w:rsid w:val="00BF33B0"/>
    <w:rsid w:val="00C016AC"/>
    <w:rsid w:val="00C02A8C"/>
    <w:rsid w:val="00C266E2"/>
    <w:rsid w:val="00C276F1"/>
    <w:rsid w:val="00C3068B"/>
    <w:rsid w:val="00C315C6"/>
    <w:rsid w:val="00C334B5"/>
    <w:rsid w:val="00C33528"/>
    <w:rsid w:val="00C3546C"/>
    <w:rsid w:val="00C3654D"/>
    <w:rsid w:val="00C438DF"/>
    <w:rsid w:val="00C465AF"/>
    <w:rsid w:val="00C51630"/>
    <w:rsid w:val="00C54301"/>
    <w:rsid w:val="00C543BE"/>
    <w:rsid w:val="00C6563D"/>
    <w:rsid w:val="00C73E4A"/>
    <w:rsid w:val="00C759B1"/>
    <w:rsid w:val="00C81797"/>
    <w:rsid w:val="00C826E1"/>
    <w:rsid w:val="00C8311B"/>
    <w:rsid w:val="00C90B98"/>
    <w:rsid w:val="00C9487A"/>
    <w:rsid w:val="00C96540"/>
    <w:rsid w:val="00CA37F6"/>
    <w:rsid w:val="00CA4175"/>
    <w:rsid w:val="00CA6260"/>
    <w:rsid w:val="00CA7077"/>
    <w:rsid w:val="00CA747D"/>
    <w:rsid w:val="00CB5AC6"/>
    <w:rsid w:val="00CB5C47"/>
    <w:rsid w:val="00CB6401"/>
    <w:rsid w:val="00CB7564"/>
    <w:rsid w:val="00CB7F57"/>
    <w:rsid w:val="00CC0102"/>
    <w:rsid w:val="00CC3BD8"/>
    <w:rsid w:val="00CC761A"/>
    <w:rsid w:val="00CD2AFB"/>
    <w:rsid w:val="00CD6DA3"/>
    <w:rsid w:val="00CE0D42"/>
    <w:rsid w:val="00CE5FF8"/>
    <w:rsid w:val="00CF04A3"/>
    <w:rsid w:val="00CF0CF2"/>
    <w:rsid w:val="00CF35A5"/>
    <w:rsid w:val="00CF74E3"/>
    <w:rsid w:val="00D06A2B"/>
    <w:rsid w:val="00D1479F"/>
    <w:rsid w:val="00D36CB3"/>
    <w:rsid w:val="00D5181D"/>
    <w:rsid w:val="00D53F85"/>
    <w:rsid w:val="00D55026"/>
    <w:rsid w:val="00D57271"/>
    <w:rsid w:val="00D627F2"/>
    <w:rsid w:val="00D716F1"/>
    <w:rsid w:val="00D74FE9"/>
    <w:rsid w:val="00D766F6"/>
    <w:rsid w:val="00D826AA"/>
    <w:rsid w:val="00D84B50"/>
    <w:rsid w:val="00D86A53"/>
    <w:rsid w:val="00D908C0"/>
    <w:rsid w:val="00D93E26"/>
    <w:rsid w:val="00D955CB"/>
    <w:rsid w:val="00D9615A"/>
    <w:rsid w:val="00D97E6D"/>
    <w:rsid w:val="00DA2D37"/>
    <w:rsid w:val="00DA3284"/>
    <w:rsid w:val="00DA4BDF"/>
    <w:rsid w:val="00DA74EA"/>
    <w:rsid w:val="00DB2157"/>
    <w:rsid w:val="00DB25D3"/>
    <w:rsid w:val="00DB3290"/>
    <w:rsid w:val="00DB408B"/>
    <w:rsid w:val="00DB6F0D"/>
    <w:rsid w:val="00DC1967"/>
    <w:rsid w:val="00DC2239"/>
    <w:rsid w:val="00DC45B1"/>
    <w:rsid w:val="00DC4F39"/>
    <w:rsid w:val="00DC5BF7"/>
    <w:rsid w:val="00DC7006"/>
    <w:rsid w:val="00DD4C32"/>
    <w:rsid w:val="00DD66AD"/>
    <w:rsid w:val="00DE6C7B"/>
    <w:rsid w:val="00DF051E"/>
    <w:rsid w:val="00DF5E73"/>
    <w:rsid w:val="00E00DFA"/>
    <w:rsid w:val="00E012A5"/>
    <w:rsid w:val="00E013AF"/>
    <w:rsid w:val="00E05BF0"/>
    <w:rsid w:val="00E07F4C"/>
    <w:rsid w:val="00E1695E"/>
    <w:rsid w:val="00E20145"/>
    <w:rsid w:val="00E212E8"/>
    <w:rsid w:val="00E26BAA"/>
    <w:rsid w:val="00E43697"/>
    <w:rsid w:val="00E45167"/>
    <w:rsid w:val="00E45E2D"/>
    <w:rsid w:val="00E51A8E"/>
    <w:rsid w:val="00E535D7"/>
    <w:rsid w:val="00E53D8F"/>
    <w:rsid w:val="00E552C9"/>
    <w:rsid w:val="00E56E82"/>
    <w:rsid w:val="00E610A3"/>
    <w:rsid w:val="00E63170"/>
    <w:rsid w:val="00E65AD2"/>
    <w:rsid w:val="00E72CBD"/>
    <w:rsid w:val="00E80916"/>
    <w:rsid w:val="00E856F5"/>
    <w:rsid w:val="00E87595"/>
    <w:rsid w:val="00E877ED"/>
    <w:rsid w:val="00E92C99"/>
    <w:rsid w:val="00E96DFC"/>
    <w:rsid w:val="00EA3005"/>
    <w:rsid w:val="00EB1304"/>
    <w:rsid w:val="00EB578B"/>
    <w:rsid w:val="00EC3348"/>
    <w:rsid w:val="00ED0ACC"/>
    <w:rsid w:val="00EE1D02"/>
    <w:rsid w:val="00EE3DD1"/>
    <w:rsid w:val="00EE7438"/>
    <w:rsid w:val="00EE7668"/>
    <w:rsid w:val="00EF3E4F"/>
    <w:rsid w:val="00F00EBF"/>
    <w:rsid w:val="00F04ADC"/>
    <w:rsid w:val="00F12068"/>
    <w:rsid w:val="00F15A2B"/>
    <w:rsid w:val="00F16A07"/>
    <w:rsid w:val="00F174A8"/>
    <w:rsid w:val="00F22143"/>
    <w:rsid w:val="00F2338F"/>
    <w:rsid w:val="00F24555"/>
    <w:rsid w:val="00F2765C"/>
    <w:rsid w:val="00F30FE9"/>
    <w:rsid w:val="00F31D7C"/>
    <w:rsid w:val="00F438A5"/>
    <w:rsid w:val="00F510D1"/>
    <w:rsid w:val="00F55F3B"/>
    <w:rsid w:val="00F619F8"/>
    <w:rsid w:val="00F71B72"/>
    <w:rsid w:val="00F746F1"/>
    <w:rsid w:val="00F76DB7"/>
    <w:rsid w:val="00F8095B"/>
    <w:rsid w:val="00F80AE3"/>
    <w:rsid w:val="00F864D4"/>
    <w:rsid w:val="00F952A0"/>
    <w:rsid w:val="00FB0031"/>
    <w:rsid w:val="00FB3274"/>
    <w:rsid w:val="00FB73A7"/>
    <w:rsid w:val="00FC0327"/>
    <w:rsid w:val="00FC7577"/>
    <w:rsid w:val="00FD302A"/>
    <w:rsid w:val="00FD5D14"/>
    <w:rsid w:val="00FD693E"/>
    <w:rsid w:val="00FD7B92"/>
    <w:rsid w:val="00FE126E"/>
    <w:rsid w:val="00FE419E"/>
    <w:rsid w:val="00FE6EE6"/>
    <w:rsid w:val="00FF43F6"/>
    <w:rsid w:val="00FF6317"/>
    <w:rsid w:val="01D1AAE3"/>
    <w:rsid w:val="07F1FA06"/>
    <w:rsid w:val="09C5494F"/>
    <w:rsid w:val="0AFB7AF8"/>
    <w:rsid w:val="1303A5E2"/>
    <w:rsid w:val="195D6AB2"/>
    <w:rsid w:val="23A1E861"/>
    <w:rsid w:val="38F7A286"/>
    <w:rsid w:val="3D2F8AA8"/>
    <w:rsid w:val="5088FC00"/>
    <w:rsid w:val="67707435"/>
    <w:rsid w:val="6D7EFB5E"/>
    <w:rsid w:val="6FCC3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6952943"/>
  <w15:docId w15:val="{6ED56A3B-BDDA-446B-BA34-E4462C8C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6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6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5AF"/>
    <w:rPr>
      <w:rFonts w:eastAsiaTheme="majorEastAsia" w:cstheme="majorBidi"/>
      <w:color w:val="272727" w:themeColor="text1" w:themeTint="D8"/>
    </w:rPr>
  </w:style>
  <w:style w:type="paragraph" w:styleId="Title">
    <w:name w:val="Title"/>
    <w:basedOn w:val="Normal"/>
    <w:next w:val="Normal"/>
    <w:link w:val="TitleChar"/>
    <w:uiPriority w:val="10"/>
    <w:qFormat/>
    <w:rsid w:val="00C46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5AF"/>
    <w:pPr>
      <w:spacing w:before="160"/>
      <w:jc w:val="center"/>
    </w:pPr>
    <w:rPr>
      <w:i/>
      <w:iCs/>
      <w:color w:val="404040" w:themeColor="text1" w:themeTint="BF"/>
    </w:rPr>
  </w:style>
  <w:style w:type="character" w:customStyle="1" w:styleId="QuoteChar">
    <w:name w:val="Quote Char"/>
    <w:basedOn w:val="DefaultParagraphFont"/>
    <w:link w:val="Quote"/>
    <w:uiPriority w:val="29"/>
    <w:rsid w:val="00C465AF"/>
    <w:rPr>
      <w:i/>
      <w:iCs/>
      <w:color w:val="404040" w:themeColor="text1" w:themeTint="BF"/>
    </w:rPr>
  </w:style>
  <w:style w:type="paragraph" w:styleId="ListParagraph">
    <w:name w:val="List Paragraph"/>
    <w:basedOn w:val="Normal"/>
    <w:uiPriority w:val="34"/>
    <w:qFormat/>
    <w:rsid w:val="00C465AF"/>
    <w:pPr>
      <w:ind w:left="720"/>
      <w:contextualSpacing/>
    </w:pPr>
  </w:style>
  <w:style w:type="character" w:styleId="IntenseEmphasis">
    <w:name w:val="Intense Emphasis"/>
    <w:basedOn w:val="DefaultParagraphFont"/>
    <w:uiPriority w:val="21"/>
    <w:qFormat/>
    <w:rsid w:val="00C465AF"/>
    <w:rPr>
      <w:i/>
      <w:iCs/>
      <w:color w:val="0F4761" w:themeColor="accent1" w:themeShade="BF"/>
    </w:rPr>
  </w:style>
  <w:style w:type="paragraph" w:styleId="IntenseQuote">
    <w:name w:val="Intense Quote"/>
    <w:basedOn w:val="Normal"/>
    <w:next w:val="Normal"/>
    <w:link w:val="IntenseQuoteChar"/>
    <w:uiPriority w:val="30"/>
    <w:qFormat/>
    <w:rsid w:val="00C46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5AF"/>
    <w:rPr>
      <w:i/>
      <w:iCs/>
      <w:color w:val="0F4761" w:themeColor="accent1" w:themeShade="BF"/>
    </w:rPr>
  </w:style>
  <w:style w:type="character" w:styleId="IntenseReference">
    <w:name w:val="Intense Reference"/>
    <w:basedOn w:val="DefaultParagraphFont"/>
    <w:uiPriority w:val="32"/>
    <w:qFormat/>
    <w:rsid w:val="00C465AF"/>
    <w:rPr>
      <w:b/>
      <w:bCs/>
      <w:smallCaps/>
      <w:color w:val="0F4761" w:themeColor="accent1" w:themeShade="BF"/>
      <w:spacing w:val="5"/>
    </w:rPr>
  </w:style>
  <w:style w:type="character" w:styleId="FootnoteReference">
    <w:name w:val="footnote reference"/>
    <w:basedOn w:val="DefaultParagraphFont"/>
    <w:uiPriority w:val="99"/>
    <w:semiHidden/>
    <w:unhideWhenUsed/>
    <w:rsid w:val="009151F0"/>
    <w:rPr>
      <w:vertAlign w:val="superscript"/>
    </w:rPr>
  </w:style>
  <w:style w:type="paragraph" w:styleId="FootnoteText">
    <w:name w:val="footnote text"/>
    <w:basedOn w:val="Normal"/>
    <w:link w:val="FootnoteTextChar"/>
    <w:uiPriority w:val="99"/>
    <w:semiHidden/>
    <w:unhideWhenUsed/>
    <w:rsid w:val="009151F0"/>
    <w:pPr>
      <w:spacing w:after="0" w:line="240" w:lineRule="auto"/>
      <w:jc w:val="both"/>
    </w:pPr>
    <w:rPr>
      <w:kern w:val="0"/>
      <w:sz w:val="20"/>
      <w:szCs w:val="20"/>
      <w14:ligatures w14:val="none"/>
    </w:rPr>
  </w:style>
  <w:style w:type="character" w:customStyle="1" w:styleId="FootnoteTextChar">
    <w:name w:val="Footnote Text Char"/>
    <w:basedOn w:val="DefaultParagraphFont"/>
    <w:link w:val="FootnoteText"/>
    <w:uiPriority w:val="99"/>
    <w:semiHidden/>
    <w:rsid w:val="009151F0"/>
    <w:rPr>
      <w:kern w:val="0"/>
      <w:sz w:val="20"/>
      <w:szCs w:val="20"/>
      <w14:ligatures w14:val="none"/>
    </w:rPr>
  </w:style>
  <w:style w:type="paragraph" w:styleId="Caption">
    <w:name w:val="caption"/>
    <w:basedOn w:val="Normal"/>
    <w:next w:val="Normal"/>
    <w:uiPriority w:val="35"/>
    <w:unhideWhenUsed/>
    <w:qFormat/>
    <w:rsid w:val="009151F0"/>
    <w:pPr>
      <w:spacing w:after="200" w:line="240" w:lineRule="auto"/>
    </w:pPr>
    <w:rPr>
      <w:i/>
      <w:iCs/>
      <w:color w:val="0E2841" w:themeColor="text2"/>
      <w:sz w:val="18"/>
      <w:szCs w:val="18"/>
    </w:rPr>
  </w:style>
  <w:style w:type="table" w:styleId="TableGrid">
    <w:name w:val="Table Grid"/>
    <w:basedOn w:val="TableNormal"/>
    <w:uiPriority w:val="39"/>
    <w:rsid w:val="00CB756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0B5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hgkelc">
    <w:name w:val="hgkelc"/>
    <w:basedOn w:val="DefaultParagraphFont"/>
    <w:rsid w:val="00560B50"/>
  </w:style>
  <w:style w:type="character" w:styleId="Emphasis">
    <w:name w:val="Emphasis"/>
    <w:basedOn w:val="DefaultParagraphFont"/>
    <w:uiPriority w:val="20"/>
    <w:qFormat/>
    <w:rsid w:val="00560B50"/>
    <w:rPr>
      <w:i/>
      <w:iCs/>
    </w:rPr>
  </w:style>
  <w:style w:type="paragraph" w:styleId="TOCHeading">
    <w:name w:val="TOC Heading"/>
    <w:basedOn w:val="Heading1"/>
    <w:next w:val="Normal"/>
    <w:uiPriority w:val="39"/>
    <w:unhideWhenUsed/>
    <w:qFormat/>
    <w:rsid w:val="00DB6F0D"/>
    <w:pPr>
      <w:spacing w:before="240" w:after="0"/>
      <w:outlineLvl w:val="9"/>
    </w:pPr>
    <w:rPr>
      <w:kern w:val="0"/>
      <w:sz w:val="32"/>
      <w:szCs w:val="32"/>
      <w:lang w:eastAsia="pl-PL"/>
      <w14:ligatures w14:val="none"/>
    </w:rPr>
  </w:style>
  <w:style w:type="paragraph" w:styleId="TOC1">
    <w:name w:val="toc 1"/>
    <w:basedOn w:val="Normal"/>
    <w:next w:val="Normal"/>
    <w:autoRedefine/>
    <w:uiPriority w:val="39"/>
    <w:unhideWhenUsed/>
    <w:rsid w:val="00DB6F0D"/>
    <w:pPr>
      <w:spacing w:after="100"/>
    </w:pPr>
  </w:style>
  <w:style w:type="paragraph" w:styleId="TOC2">
    <w:name w:val="toc 2"/>
    <w:basedOn w:val="Normal"/>
    <w:next w:val="Normal"/>
    <w:autoRedefine/>
    <w:uiPriority w:val="39"/>
    <w:unhideWhenUsed/>
    <w:rsid w:val="00DB6F0D"/>
    <w:pPr>
      <w:spacing w:after="100"/>
      <w:ind w:left="220"/>
    </w:pPr>
  </w:style>
  <w:style w:type="character" w:styleId="Hyperlink">
    <w:name w:val="Hyperlink"/>
    <w:basedOn w:val="DefaultParagraphFont"/>
    <w:uiPriority w:val="99"/>
    <w:unhideWhenUsed/>
    <w:rsid w:val="00DB6F0D"/>
    <w:rPr>
      <w:color w:val="467886" w:themeColor="hyperlink"/>
      <w:u w:val="single"/>
    </w:rPr>
  </w:style>
  <w:style w:type="paragraph" w:styleId="Header">
    <w:name w:val="header"/>
    <w:basedOn w:val="Normal"/>
    <w:link w:val="HeaderChar"/>
    <w:uiPriority w:val="99"/>
    <w:unhideWhenUsed/>
    <w:rsid w:val="00DB6F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6F0D"/>
  </w:style>
  <w:style w:type="paragraph" w:styleId="Footer">
    <w:name w:val="footer"/>
    <w:basedOn w:val="Normal"/>
    <w:link w:val="FooterChar"/>
    <w:uiPriority w:val="99"/>
    <w:unhideWhenUsed/>
    <w:rsid w:val="00DB6F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6F0D"/>
  </w:style>
  <w:style w:type="character" w:styleId="CommentReference">
    <w:name w:val="annotation reference"/>
    <w:basedOn w:val="DefaultParagraphFont"/>
    <w:uiPriority w:val="99"/>
    <w:semiHidden/>
    <w:unhideWhenUsed/>
    <w:rsid w:val="008A2901"/>
    <w:rPr>
      <w:sz w:val="16"/>
      <w:szCs w:val="16"/>
    </w:rPr>
  </w:style>
  <w:style w:type="paragraph" w:styleId="CommentText">
    <w:name w:val="annotation text"/>
    <w:basedOn w:val="Normal"/>
    <w:link w:val="CommentTextChar"/>
    <w:uiPriority w:val="99"/>
    <w:unhideWhenUsed/>
    <w:rsid w:val="008A290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A2901"/>
    <w:rPr>
      <w:kern w:val="0"/>
      <w:sz w:val="20"/>
      <w:szCs w:val="20"/>
      <w14:ligatures w14:val="none"/>
    </w:rPr>
  </w:style>
  <w:style w:type="character" w:customStyle="1" w:styleId="Nierozpoznanawzmianka1">
    <w:name w:val="Nierozpoznana wzmianka1"/>
    <w:basedOn w:val="DefaultParagraphFont"/>
    <w:uiPriority w:val="99"/>
    <w:semiHidden/>
    <w:unhideWhenUsed/>
    <w:rsid w:val="004C0C1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E1D02"/>
    <w:rPr>
      <w:b/>
      <w:bCs/>
      <w:kern w:val="2"/>
      <w14:ligatures w14:val="standardContextual"/>
    </w:rPr>
  </w:style>
  <w:style w:type="character" w:customStyle="1" w:styleId="CommentSubjectChar">
    <w:name w:val="Comment Subject Char"/>
    <w:basedOn w:val="CommentTextChar"/>
    <w:link w:val="CommentSubject"/>
    <w:uiPriority w:val="99"/>
    <w:semiHidden/>
    <w:rsid w:val="00EE1D02"/>
    <w:rPr>
      <w:b/>
      <w:bCs/>
      <w:kern w:val="0"/>
      <w:sz w:val="20"/>
      <w:szCs w:val="20"/>
      <w14:ligatures w14:val="none"/>
    </w:rPr>
  </w:style>
  <w:style w:type="paragraph" w:styleId="Revision">
    <w:name w:val="Revision"/>
    <w:hidden/>
    <w:uiPriority w:val="99"/>
    <w:semiHidden/>
    <w:rsid w:val="00871E8B"/>
    <w:pPr>
      <w:spacing w:after="0" w:line="240" w:lineRule="auto"/>
    </w:pPr>
  </w:style>
  <w:style w:type="paragraph" w:styleId="BalloonText">
    <w:name w:val="Balloon Text"/>
    <w:basedOn w:val="Normal"/>
    <w:link w:val="BalloonTextChar"/>
    <w:uiPriority w:val="99"/>
    <w:semiHidden/>
    <w:unhideWhenUsed/>
    <w:rsid w:val="00712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2916">
      <w:bodyDiv w:val="1"/>
      <w:marLeft w:val="0"/>
      <w:marRight w:val="0"/>
      <w:marTop w:val="0"/>
      <w:marBottom w:val="0"/>
      <w:divBdr>
        <w:top w:val="none" w:sz="0" w:space="0" w:color="auto"/>
        <w:left w:val="none" w:sz="0" w:space="0" w:color="auto"/>
        <w:bottom w:val="none" w:sz="0" w:space="0" w:color="auto"/>
        <w:right w:val="none" w:sz="0" w:space="0" w:color="auto"/>
      </w:divBdr>
    </w:div>
    <w:div w:id="610822311">
      <w:bodyDiv w:val="1"/>
      <w:marLeft w:val="0"/>
      <w:marRight w:val="0"/>
      <w:marTop w:val="0"/>
      <w:marBottom w:val="0"/>
      <w:divBdr>
        <w:top w:val="none" w:sz="0" w:space="0" w:color="auto"/>
        <w:left w:val="none" w:sz="0" w:space="0" w:color="auto"/>
        <w:bottom w:val="none" w:sz="0" w:space="0" w:color="auto"/>
        <w:right w:val="none" w:sz="0" w:space="0" w:color="auto"/>
      </w:divBdr>
    </w:div>
    <w:div w:id="637682984">
      <w:bodyDiv w:val="1"/>
      <w:marLeft w:val="0"/>
      <w:marRight w:val="0"/>
      <w:marTop w:val="0"/>
      <w:marBottom w:val="0"/>
      <w:divBdr>
        <w:top w:val="none" w:sz="0" w:space="0" w:color="auto"/>
        <w:left w:val="none" w:sz="0" w:space="0" w:color="auto"/>
        <w:bottom w:val="none" w:sz="0" w:space="0" w:color="auto"/>
        <w:right w:val="none" w:sz="0" w:space="0" w:color="auto"/>
      </w:divBdr>
    </w:div>
    <w:div w:id="759528424">
      <w:bodyDiv w:val="1"/>
      <w:marLeft w:val="0"/>
      <w:marRight w:val="0"/>
      <w:marTop w:val="0"/>
      <w:marBottom w:val="0"/>
      <w:divBdr>
        <w:top w:val="none" w:sz="0" w:space="0" w:color="auto"/>
        <w:left w:val="none" w:sz="0" w:space="0" w:color="auto"/>
        <w:bottom w:val="none" w:sz="0" w:space="0" w:color="auto"/>
        <w:right w:val="none" w:sz="0" w:space="0" w:color="auto"/>
      </w:divBdr>
    </w:div>
    <w:div w:id="912202151">
      <w:bodyDiv w:val="1"/>
      <w:marLeft w:val="0"/>
      <w:marRight w:val="0"/>
      <w:marTop w:val="0"/>
      <w:marBottom w:val="0"/>
      <w:divBdr>
        <w:top w:val="none" w:sz="0" w:space="0" w:color="auto"/>
        <w:left w:val="none" w:sz="0" w:space="0" w:color="auto"/>
        <w:bottom w:val="none" w:sz="0" w:space="0" w:color="auto"/>
        <w:right w:val="none" w:sz="0" w:space="0" w:color="auto"/>
      </w:divBdr>
    </w:div>
    <w:div w:id="1135367073">
      <w:bodyDiv w:val="1"/>
      <w:marLeft w:val="0"/>
      <w:marRight w:val="0"/>
      <w:marTop w:val="0"/>
      <w:marBottom w:val="0"/>
      <w:divBdr>
        <w:top w:val="none" w:sz="0" w:space="0" w:color="auto"/>
        <w:left w:val="none" w:sz="0" w:space="0" w:color="auto"/>
        <w:bottom w:val="none" w:sz="0" w:space="0" w:color="auto"/>
        <w:right w:val="none" w:sz="0" w:space="0" w:color="auto"/>
      </w:divBdr>
    </w:div>
    <w:div w:id="1145584986">
      <w:bodyDiv w:val="1"/>
      <w:marLeft w:val="0"/>
      <w:marRight w:val="0"/>
      <w:marTop w:val="0"/>
      <w:marBottom w:val="0"/>
      <w:divBdr>
        <w:top w:val="none" w:sz="0" w:space="0" w:color="auto"/>
        <w:left w:val="none" w:sz="0" w:space="0" w:color="auto"/>
        <w:bottom w:val="none" w:sz="0" w:space="0" w:color="auto"/>
        <w:right w:val="none" w:sz="0" w:space="0" w:color="auto"/>
      </w:divBdr>
    </w:div>
    <w:div w:id="1229993140">
      <w:bodyDiv w:val="1"/>
      <w:marLeft w:val="0"/>
      <w:marRight w:val="0"/>
      <w:marTop w:val="0"/>
      <w:marBottom w:val="0"/>
      <w:divBdr>
        <w:top w:val="none" w:sz="0" w:space="0" w:color="auto"/>
        <w:left w:val="none" w:sz="0" w:space="0" w:color="auto"/>
        <w:bottom w:val="none" w:sz="0" w:space="0" w:color="auto"/>
        <w:right w:val="none" w:sz="0" w:space="0" w:color="auto"/>
      </w:divBdr>
    </w:div>
    <w:div w:id="1591158832">
      <w:bodyDiv w:val="1"/>
      <w:marLeft w:val="0"/>
      <w:marRight w:val="0"/>
      <w:marTop w:val="0"/>
      <w:marBottom w:val="0"/>
      <w:divBdr>
        <w:top w:val="none" w:sz="0" w:space="0" w:color="auto"/>
        <w:left w:val="none" w:sz="0" w:space="0" w:color="auto"/>
        <w:bottom w:val="none" w:sz="0" w:space="0" w:color="auto"/>
        <w:right w:val="none" w:sz="0" w:space="0" w:color="auto"/>
      </w:divBdr>
    </w:div>
    <w:div w:id="1716923144">
      <w:bodyDiv w:val="1"/>
      <w:marLeft w:val="0"/>
      <w:marRight w:val="0"/>
      <w:marTop w:val="0"/>
      <w:marBottom w:val="0"/>
      <w:divBdr>
        <w:top w:val="none" w:sz="0" w:space="0" w:color="auto"/>
        <w:left w:val="none" w:sz="0" w:space="0" w:color="auto"/>
        <w:bottom w:val="none" w:sz="0" w:space="0" w:color="auto"/>
        <w:right w:val="none" w:sz="0" w:space="0" w:color="auto"/>
      </w:divBdr>
    </w:div>
    <w:div w:id="2013532388">
      <w:bodyDiv w:val="1"/>
      <w:marLeft w:val="0"/>
      <w:marRight w:val="0"/>
      <w:marTop w:val="0"/>
      <w:marBottom w:val="0"/>
      <w:divBdr>
        <w:top w:val="none" w:sz="0" w:space="0" w:color="auto"/>
        <w:left w:val="none" w:sz="0" w:space="0" w:color="auto"/>
        <w:bottom w:val="none" w:sz="0" w:space="0" w:color="auto"/>
        <w:right w:val="none" w:sz="0" w:space="0" w:color="auto"/>
      </w:divBdr>
    </w:div>
    <w:div w:id="2121341079">
      <w:bodyDiv w:val="1"/>
      <w:marLeft w:val="0"/>
      <w:marRight w:val="0"/>
      <w:marTop w:val="0"/>
      <w:marBottom w:val="0"/>
      <w:divBdr>
        <w:top w:val="none" w:sz="0" w:space="0" w:color="auto"/>
        <w:left w:val="none" w:sz="0" w:space="0" w:color="auto"/>
        <w:bottom w:val="none" w:sz="0" w:space="0" w:color="auto"/>
        <w:right w:val="none" w:sz="0" w:space="0" w:color="auto"/>
      </w:divBdr>
      <w:divsChild>
        <w:div w:id="126067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wmf"/><Relationship Id="rId28" Type="http://schemas.openxmlformats.org/officeDocument/2006/relationships/hyperlink" Target="https://doi.org/10.1016/0270-0255(87)90473-8" TargetMode="Externa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oleObject" Target="embeddings/oleObject3.bin"/><Relationship Id="rId27" Type="http://schemas.openxmlformats.org/officeDocument/2006/relationships/hyperlink" Target="https://data.europa.eu/doi/10.2792/95934&#160;"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sghedu-my.sharepoint.com/personal/achlon_sgh_waw_pl/Documents/Grant2020_Krynica/Indeks%20catchin-up/Wska&#378;niki%20catching%20up%20wyn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ghedu-my.sharepoint.com/personal/achlon_sgh_waw_pl/Documents/Grant2020_Krynica/Indeks%20catchin-up/Wska&#378;niki%20catching%20up%20wyn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ghedu-my.sharepoint.com/personal/achlon_sgh_waw_pl/Documents/Grant2020_Krynica/Indeks%20catchin-up/Wska&#378;niki%20catching%20up%20wyn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ghedu-my.sharepoint.com/personal/achlon_sgh_waw_pl/Documents/Grant2020_Krynica/Indeks%20catchin-up/Wska&#378;niki%20catching%20up%20wynik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wykresy!$B$13</c:f>
              <c:strCache>
                <c:ptCount val="1"/>
                <c:pt idx="0">
                  <c:v>Polska – UE 27</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wykresy!$A$14:$A$18</c:f>
              <c:numCache>
                <c:formatCode>General</c:formatCode>
                <c:ptCount val="5"/>
                <c:pt idx="0">
                  <c:v>2010</c:v>
                </c:pt>
                <c:pt idx="1">
                  <c:v>2015</c:v>
                </c:pt>
                <c:pt idx="2">
                  <c:v>2020</c:v>
                </c:pt>
                <c:pt idx="3">
                  <c:v>2021</c:v>
                </c:pt>
                <c:pt idx="4">
                  <c:v>2022</c:v>
                </c:pt>
              </c:numCache>
            </c:numRef>
          </c:cat>
          <c:val>
            <c:numRef>
              <c:f>wykresy!$B$14:$B$18</c:f>
              <c:numCache>
                <c:formatCode>General</c:formatCode>
                <c:ptCount val="5"/>
                <c:pt idx="0">
                  <c:v>59</c:v>
                </c:pt>
                <c:pt idx="1">
                  <c:v>70</c:v>
                </c:pt>
                <c:pt idx="2">
                  <c:v>87</c:v>
                </c:pt>
                <c:pt idx="3">
                  <c:v>85</c:v>
                </c:pt>
                <c:pt idx="4">
                  <c:v>87</c:v>
                </c:pt>
              </c:numCache>
            </c:numRef>
          </c:val>
          <c:smooth val="0"/>
          <c:extLst>
            <c:ext xmlns:c16="http://schemas.microsoft.com/office/drawing/2014/chart" uri="{C3380CC4-5D6E-409C-BE32-E72D297353CC}">
              <c16:uniqueId val="{00000000-57B3-4BE1-99E1-4E82B0005F49}"/>
            </c:ext>
          </c:extLst>
        </c:ser>
        <c:ser>
          <c:idx val="1"/>
          <c:order val="1"/>
          <c:tx>
            <c:strRef>
              <c:f>wykresy!$C$13</c:f>
              <c:strCache>
                <c:ptCount val="1"/>
                <c:pt idx="0">
                  <c:v>Polska –UE 14</c:v>
                </c:pt>
              </c:strCache>
            </c:strRef>
          </c:tx>
          <c:spPr>
            <a:ln w="28575" cap="rnd">
              <a:solidFill>
                <a:srgbClr val="00B050"/>
              </a:solidFill>
              <a:round/>
            </a:ln>
            <a:effectLst/>
          </c:spPr>
          <c:marker>
            <c:symbol val="none"/>
          </c:marker>
          <c:cat>
            <c:numRef>
              <c:f>wykresy!$A$14:$A$18</c:f>
              <c:numCache>
                <c:formatCode>General</c:formatCode>
                <c:ptCount val="5"/>
                <c:pt idx="0">
                  <c:v>2010</c:v>
                </c:pt>
                <c:pt idx="1">
                  <c:v>2015</c:v>
                </c:pt>
                <c:pt idx="2">
                  <c:v>2020</c:v>
                </c:pt>
                <c:pt idx="3">
                  <c:v>2021</c:v>
                </c:pt>
                <c:pt idx="4">
                  <c:v>2022</c:v>
                </c:pt>
              </c:numCache>
            </c:numRef>
          </c:cat>
          <c:val>
            <c:numRef>
              <c:f>wykresy!$C$14:$C$18</c:f>
              <c:numCache>
                <c:formatCode>General</c:formatCode>
                <c:ptCount val="5"/>
                <c:pt idx="0">
                  <c:v>56</c:v>
                </c:pt>
                <c:pt idx="1">
                  <c:v>66</c:v>
                </c:pt>
                <c:pt idx="2">
                  <c:v>86</c:v>
                </c:pt>
                <c:pt idx="3">
                  <c:v>83</c:v>
                </c:pt>
                <c:pt idx="4">
                  <c:v>85</c:v>
                </c:pt>
              </c:numCache>
            </c:numRef>
          </c:val>
          <c:smooth val="0"/>
          <c:extLst>
            <c:ext xmlns:c16="http://schemas.microsoft.com/office/drawing/2014/chart" uri="{C3380CC4-5D6E-409C-BE32-E72D297353CC}">
              <c16:uniqueId val="{00000001-57B3-4BE1-99E1-4E82B0005F49}"/>
            </c:ext>
          </c:extLst>
        </c:ser>
        <c:ser>
          <c:idx val="2"/>
          <c:order val="2"/>
          <c:tx>
            <c:strRef>
              <c:f>wykresy!$D$13</c:f>
              <c:strCache>
                <c:ptCount val="1"/>
                <c:pt idx="0">
                  <c:v>Polska – UE 13</c:v>
                </c:pt>
              </c:strCache>
            </c:strRef>
          </c:tx>
          <c:spPr>
            <a:ln w="28575" cap="rnd">
              <a:solidFill>
                <a:srgbClr val="FF0000"/>
              </a:solidFill>
              <a:round/>
            </a:ln>
            <a:effectLst/>
          </c:spPr>
          <c:marker>
            <c:symbol val="none"/>
          </c:marker>
          <c:cat>
            <c:numRef>
              <c:f>wykresy!$A$14:$A$18</c:f>
              <c:numCache>
                <c:formatCode>General</c:formatCode>
                <c:ptCount val="5"/>
                <c:pt idx="0">
                  <c:v>2010</c:v>
                </c:pt>
                <c:pt idx="1">
                  <c:v>2015</c:v>
                </c:pt>
                <c:pt idx="2">
                  <c:v>2020</c:v>
                </c:pt>
                <c:pt idx="3">
                  <c:v>2021</c:v>
                </c:pt>
                <c:pt idx="4">
                  <c:v>2022</c:v>
                </c:pt>
              </c:numCache>
            </c:numRef>
          </c:cat>
          <c:val>
            <c:numRef>
              <c:f>wykresy!$D$14:$D$18</c:f>
              <c:numCache>
                <c:formatCode>General</c:formatCode>
                <c:ptCount val="5"/>
                <c:pt idx="0">
                  <c:v>92</c:v>
                </c:pt>
                <c:pt idx="1">
                  <c:v>98</c:v>
                </c:pt>
                <c:pt idx="2">
                  <c:v>104</c:v>
                </c:pt>
                <c:pt idx="3">
                  <c:v>104</c:v>
                </c:pt>
                <c:pt idx="4">
                  <c:v>104</c:v>
                </c:pt>
              </c:numCache>
            </c:numRef>
          </c:val>
          <c:smooth val="0"/>
          <c:extLst>
            <c:ext xmlns:c16="http://schemas.microsoft.com/office/drawing/2014/chart" uri="{C3380CC4-5D6E-409C-BE32-E72D297353CC}">
              <c16:uniqueId val="{00000002-57B3-4BE1-99E1-4E82B0005F49}"/>
            </c:ext>
          </c:extLst>
        </c:ser>
        <c:dLbls>
          <c:showLegendKey val="0"/>
          <c:showVal val="0"/>
          <c:showCatName val="0"/>
          <c:showSerName val="0"/>
          <c:showPercent val="0"/>
          <c:showBubbleSize val="0"/>
        </c:dLbls>
        <c:smooth val="0"/>
        <c:axId val="901479336"/>
        <c:axId val="901478976"/>
      </c:lineChart>
      <c:catAx>
        <c:axId val="90147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901478976"/>
        <c:crosses val="autoZero"/>
        <c:auto val="1"/>
        <c:lblAlgn val="ctr"/>
        <c:lblOffset val="100"/>
        <c:noMultiLvlLbl val="0"/>
      </c:catAx>
      <c:valAx>
        <c:axId val="901478976"/>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90147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bar"/>
        <c:grouping val="clustered"/>
        <c:varyColors val="0"/>
        <c:ser>
          <c:idx val="0"/>
          <c:order val="0"/>
          <c:tx>
            <c:strRef>
              <c:f>wykresy!$B$2</c:f>
              <c:strCache>
                <c:ptCount val="1"/>
                <c:pt idx="0">
                  <c:v>Polska – UE 27</c:v>
                </c:pt>
              </c:strCache>
            </c:strRef>
          </c:tx>
          <c:spPr>
            <a:solidFill>
              <a:schemeClr val="accent1"/>
            </a:solidFill>
            <a:ln>
              <a:noFill/>
            </a:ln>
            <a:effectLst/>
          </c:spPr>
          <c:invertIfNegative val="0"/>
          <c:cat>
            <c:strRef>
              <c:f>wykresy!$A$3:$A$10</c:f>
              <c:strCache>
                <c:ptCount val="8"/>
                <c:pt idx="0">
                  <c:v>Ogółem</c:v>
                </c:pt>
                <c:pt idx="1">
                  <c:v>Dochody i deprywacja materialna</c:v>
                </c:pt>
                <c:pt idx="2">
                  <c:v>Rynek pracy</c:v>
                </c:pt>
                <c:pt idx="3">
                  <c:v>Warunki mieszkaniowe</c:v>
                </c:pt>
                <c:pt idx="4">
                  <c:v>Zdrowie</c:v>
                </c:pt>
                <c:pt idx="5">
                  <c:v>Edukacja</c:v>
                </c:pt>
                <c:pt idx="6">
                  <c:v>Transport i infrastruktura</c:v>
                </c:pt>
                <c:pt idx="7">
                  <c:v>Ochrona środowiska</c:v>
                </c:pt>
              </c:strCache>
            </c:strRef>
          </c:cat>
          <c:val>
            <c:numRef>
              <c:f>wykresy!$B$3:$B$10</c:f>
              <c:numCache>
                <c:formatCode>General</c:formatCode>
                <c:ptCount val="8"/>
                <c:pt idx="0">
                  <c:v>87</c:v>
                </c:pt>
                <c:pt idx="1">
                  <c:v>115</c:v>
                </c:pt>
                <c:pt idx="2">
                  <c:v>79</c:v>
                </c:pt>
                <c:pt idx="3">
                  <c:v>96</c:v>
                </c:pt>
                <c:pt idx="4">
                  <c:v>86</c:v>
                </c:pt>
                <c:pt idx="5">
                  <c:v>56</c:v>
                </c:pt>
                <c:pt idx="6">
                  <c:v>68</c:v>
                </c:pt>
                <c:pt idx="7">
                  <c:v>67</c:v>
                </c:pt>
              </c:numCache>
            </c:numRef>
          </c:val>
          <c:extLst>
            <c:ext xmlns:c16="http://schemas.microsoft.com/office/drawing/2014/chart" uri="{C3380CC4-5D6E-409C-BE32-E72D297353CC}">
              <c16:uniqueId val="{00000000-32FA-4BA5-B7B2-E843A4566FF0}"/>
            </c:ext>
          </c:extLst>
        </c:ser>
        <c:dLbls>
          <c:showLegendKey val="0"/>
          <c:showVal val="0"/>
          <c:showCatName val="0"/>
          <c:showSerName val="0"/>
          <c:showPercent val="0"/>
          <c:showBubbleSize val="0"/>
        </c:dLbls>
        <c:gapWidth val="182"/>
        <c:axId val="628162896"/>
        <c:axId val="628164696"/>
      </c:barChart>
      <c:catAx>
        <c:axId val="6281628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4696"/>
        <c:crossesAt val="100"/>
        <c:auto val="1"/>
        <c:lblAlgn val="ctr"/>
        <c:lblOffset val="100"/>
        <c:noMultiLvlLbl val="0"/>
      </c:catAx>
      <c:valAx>
        <c:axId val="628164696"/>
        <c:scaling>
          <c:orientation val="minMax"/>
          <c:max val="140"/>
          <c:min val="4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2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a:t>Polska – UE 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bar"/>
        <c:grouping val="clustered"/>
        <c:varyColors val="0"/>
        <c:ser>
          <c:idx val="0"/>
          <c:order val="0"/>
          <c:tx>
            <c:strRef>
              <c:f>wykresy!$C$2</c:f>
              <c:strCache>
                <c:ptCount val="1"/>
                <c:pt idx="0">
                  <c:v>Polska –UE 14</c:v>
                </c:pt>
              </c:strCache>
            </c:strRef>
          </c:tx>
          <c:spPr>
            <a:solidFill>
              <a:srgbClr val="00B050"/>
            </a:solidFill>
            <a:ln>
              <a:noFill/>
            </a:ln>
            <a:effectLst/>
          </c:spPr>
          <c:invertIfNegative val="0"/>
          <c:cat>
            <c:strRef>
              <c:f>wykresy!$A$3:$A$10</c:f>
              <c:strCache>
                <c:ptCount val="8"/>
                <c:pt idx="0">
                  <c:v>Ogółem</c:v>
                </c:pt>
                <c:pt idx="1">
                  <c:v>Dochody i deprywacja materialna</c:v>
                </c:pt>
                <c:pt idx="2">
                  <c:v>Rynek pracy</c:v>
                </c:pt>
                <c:pt idx="3">
                  <c:v>Warunki mieszkaniowe</c:v>
                </c:pt>
                <c:pt idx="4">
                  <c:v>Zdrowie</c:v>
                </c:pt>
                <c:pt idx="5">
                  <c:v>Edukacja</c:v>
                </c:pt>
                <c:pt idx="6">
                  <c:v>Transport i infrastruktura</c:v>
                </c:pt>
                <c:pt idx="7">
                  <c:v>Ochrona środowiska</c:v>
                </c:pt>
              </c:strCache>
            </c:strRef>
          </c:cat>
          <c:val>
            <c:numRef>
              <c:f>wykresy!$C$3:$C$10</c:f>
              <c:numCache>
                <c:formatCode>General</c:formatCode>
                <c:ptCount val="8"/>
                <c:pt idx="0">
                  <c:v>85</c:v>
                </c:pt>
                <c:pt idx="1">
                  <c:v>113</c:v>
                </c:pt>
                <c:pt idx="2">
                  <c:v>83</c:v>
                </c:pt>
                <c:pt idx="3">
                  <c:v>100</c:v>
                </c:pt>
                <c:pt idx="4">
                  <c:v>83</c:v>
                </c:pt>
                <c:pt idx="5">
                  <c:v>50</c:v>
                </c:pt>
                <c:pt idx="6">
                  <c:v>66</c:v>
                </c:pt>
                <c:pt idx="7">
                  <c:v>64</c:v>
                </c:pt>
              </c:numCache>
            </c:numRef>
          </c:val>
          <c:extLst>
            <c:ext xmlns:c16="http://schemas.microsoft.com/office/drawing/2014/chart" uri="{C3380CC4-5D6E-409C-BE32-E72D297353CC}">
              <c16:uniqueId val="{00000000-924A-4231-8513-EF8BC616A285}"/>
            </c:ext>
          </c:extLst>
        </c:ser>
        <c:dLbls>
          <c:showLegendKey val="0"/>
          <c:showVal val="0"/>
          <c:showCatName val="0"/>
          <c:showSerName val="0"/>
          <c:showPercent val="0"/>
          <c:showBubbleSize val="0"/>
        </c:dLbls>
        <c:gapWidth val="182"/>
        <c:axId val="628162896"/>
        <c:axId val="628164696"/>
      </c:barChart>
      <c:catAx>
        <c:axId val="6281628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4696"/>
        <c:crossesAt val="100"/>
        <c:auto val="1"/>
        <c:lblAlgn val="ctr"/>
        <c:lblOffset val="100"/>
        <c:noMultiLvlLbl val="0"/>
      </c:catAx>
      <c:valAx>
        <c:axId val="628164696"/>
        <c:scaling>
          <c:orientation val="minMax"/>
          <c:max val="140"/>
          <c:min val="4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2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bar"/>
        <c:grouping val="clustered"/>
        <c:varyColors val="0"/>
        <c:ser>
          <c:idx val="0"/>
          <c:order val="0"/>
          <c:tx>
            <c:strRef>
              <c:f>wykresy!$D$2</c:f>
              <c:strCache>
                <c:ptCount val="1"/>
                <c:pt idx="0">
                  <c:v>Polska – UE 13</c:v>
                </c:pt>
              </c:strCache>
            </c:strRef>
          </c:tx>
          <c:spPr>
            <a:solidFill>
              <a:srgbClr val="FF0000"/>
            </a:solidFill>
            <a:ln>
              <a:noFill/>
            </a:ln>
            <a:effectLst/>
          </c:spPr>
          <c:invertIfNegative val="0"/>
          <c:cat>
            <c:strRef>
              <c:f>wykresy!$A$3:$A$10</c:f>
              <c:strCache>
                <c:ptCount val="8"/>
                <c:pt idx="0">
                  <c:v>Ogółem</c:v>
                </c:pt>
                <c:pt idx="1">
                  <c:v>Dochody i deprywacja materialna</c:v>
                </c:pt>
                <c:pt idx="2">
                  <c:v>Rynek pracy</c:v>
                </c:pt>
                <c:pt idx="3">
                  <c:v>Warunki mieszkaniowe</c:v>
                </c:pt>
                <c:pt idx="4">
                  <c:v>Zdrowie</c:v>
                </c:pt>
                <c:pt idx="5">
                  <c:v>Edukacja</c:v>
                </c:pt>
                <c:pt idx="6">
                  <c:v>Transport i infrastruktura</c:v>
                </c:pt>
                <c:pt idx="7">
                  <c:v>Ochrona środowiska</c:v>
                </c:pt>
              </c:strCache>
            </c:strRef>
          </c:cat>
          <c:val>
            <c:numRef>
              <c:f>wykresy!$D$3:$D$10</c:f>
              <c:numCache>
                <c:formatCode>General</c:formatCode>
                <c:ptCount val="8"/>
                <c:pt idx="0">
                  <c:v>104</c:v>
                </c:pt>
                <c:pt idx="1">
                  <c:v>128</c:v>
                </c:pt>
                <c:pt idx="2">
                  <c:v>78</c:v>
                </c:pt>
                <c:pt idx="3">
                  <c:v>98</c:v>
                </c:pt>
                <c:pt idx="4">
                  <c:v>102</c:v>
                </c:pt>
                <c:pt idx="5">
                  <c:v>102</c:v>
                </c:pt>
                <c:pt idx="6">
                  <c:v>78</c:v>
                </c:pt>
                <c:pt idx="7">
                  <c:v>93</c:v>
                </c:pt>
              </c:numCache>
            </c:numRef>
          </c:val>
          <c:extLst>
            <c:ext xmlns:c16="http://schemas.microsoft.com/office/drawing/2014/chart" uri="{C3380CC4-5D6E-409C-BE32-E72D297353CC}">
              <c16:uniqueId val="{00000000-A66E-4DDA-9C35-CFFE6FAED67F}"/>
            </c:ext>
          </c:extLst>
        </c:ser>
        <c:dLbls>
          <c:showLegendKey val="0"/>
          <c:showVal val="0"/>
          <c:showCatName val="0"/>
          <c:showSerName val="0"/>
          <c:showPercent val="0"/>
          <c:showBubbleSize val="0"/>
        </c:dLbls>
        <c:gapWidth val="182"/>
        <c:axId val="628162896"/>
        <c:axId val="628164696"/>
      </c:barChart>
      <c:catAx>
        <c:axId val="6281628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4696"/>
        <c:crossesAt val="100"/>
        <c:auto val="1"/>
        <c:lblAlgn val="ctr"/>
        <c:lblOffset val="100"/>
        <c:noMultiLvlLbl val="0"/>
      </c:catAx>
      <c:valAx>
        <c:axId val="628164696"/>
        <c:scaling>
          <c:orientation val="minMax"/>
          <c:min val="4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28162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1F814A-7FA0-43AD-8547-147DCCED3451}" type="doc">
      <dgm:prSet loTypeId="urn:microsoft.com/office/officeart/2009/3/layout/HorizontalOrganizationChart" loCatId="hierarchy" qsTypeId="urn:microsoft.com/office/officeart/2005/8/quickstyle/simple2" qsCatId="simple" csTypeId="urn:microsoft.com/office/officeart/2005/8/colors/colorful4" csCatId="colorful" phldr="1"/>
      <dgm:spPr/>
      <dgm:t>
        <a:bodyPr/>
        <a:lstStyle/>
        <a:p>
          <a:endParaRPr lang="pl-PL"/>
        </a:p>
      </dgm:t>
    </dgm:pt>
    <dgm:pt modelId="{526CCEBD-48A1-4F36-858B-5871FA9919E3}">
      <dgm:prSet phldrT="[Tekst]"/>
      <dgm:spPr/>
      <dgm:t>
        <a:bodyPr/>
        <a:lstStyle/>
        <a:p>
          <a:r>
            <a:rPr lang="pl-PL">
              <a:latin typeface="Times New Roman" panose="02020603050405020304" pitchFamily="18" charset="0"/>
              <a:cs typeface="Times New Roman" panose="02020603050405020304" pitchFamily="18" charset="0"/>
            </a:rPr>
            <a:t>1. Dochody i deprywacja materialna</a:t>
          </a:r>
        </a:p>
      </dgm:t>
    </dgm:pt>
    <dgm:pt modelId="{7C7DA91F-F932-435C-8B01-55A4F83F412C}" type="parTrans" cxnId="{6A43ED2F-8E99-43A7-8902-E507571E62B4}">
      <dgm:prSet/>
      <dgm:spPr/>
      <dgm:t>
        <a:bodyPr/>
        <a:lstStyle/>
        <a:p>
          <a:endParaRPr lang="pl-PL">
            <a:latin typeface="Times New Roman" panose="02020603050405020304" pitchFamily="18" charset="0"/>
            <a:cs typeface="Times New Roman" panose="02020603050405020304" pitchFamily="18" charset="0"/>
          </a:endParaRPr>
        </a:p>
      </dgm:t>
    </dgm:pt>
    <dgm:pt modelId="{6668E220-3E49-46F3-9C97-E1AF6FE13921}" type="sibTrans" cxnId="{6A43ED2F-8E99-43A7-8902-E507571E62B4}">
      <dgm:prSet/>
      <dgm:spPr/>
      <dgm:t>
        <a:bodyPr/>
        <a:lstStyle/>
        <a:p>
          <a:endParaRPr lang="pl-PL">
            <a:latin typeface="Times New Roman" panose="02020603050405020304" pitchFamily="18" charset="0"/>
            <a:cs typeface="Times New Roman" panose="02020603050405020304" pitchFamily="18" charset="0"/>
          </a:endParaRPr>
        </a:p>
      </dgm:t>
    </dgm:pt>
    <dgm:pt modelId="{ED3CB622-5D31-490A-9C5C-9A9051074767}">
      <dgm:prSet phldrT="[Tekst]"/>
      <dgm:spPr/>
      <dgm:t>
        <a:bodyPr/>
        <a:lstStyle/>
        <a:p>
          <a:r>
            <a:rPr lang="pl-PL">
              <a:latin typeface="Times New Roman" panose="02020603050405020304" pitchFamily="18" charset="0"/>
              <a:cs typeface="Times New Roman" panose="02020603050405020304" pitchFamily="18" charset="0"/>
            </a:rPr>
            <a:t>2. Rynek pracy</a:t>
          </a:r>
        </a:p>
      </dgm:t>
    </dgm:pt>
    <dgm:pt modelId="{2FFF7B0A-E21D-4E64-B400-906FE9295A0D}" type="parTrans" cxnId="{F2FF2A3F-48A3-49B2-80FC-E5E4A5ECEAC2}">
      <dgm:prSet/>
      <dgm:spPr/>
      <dgm:t>
        <a:bodyPr/>
        <a:lstStyle/>
        <a:p>
          <a:endParaRPr lang="pl-PL">
            <a:latin typeface="Times New Roman" panose="02020603050405020304" pitchFamily="18" charset="0"/>
            <a:cs typeface="Times New Roman" panose="02020603050405020304" pitchFamily="18" charset="0"/>
          </a:endParaRPr>
        </a:p>
      </dgm:t>
    </dgm:pt>
    <dgm:pt modelId="{40833245-CC77-44C8-8BEB-E7CA7DDBB2AB}" type="sibTrans" cxnId="{F2FF2A3F-48A3-49B2-80FC-E5E4A5ECEAC2}">
      <dgm:prSet/>
      <dgm:spPr/>
      <dgm:t>
        <a:bodyPr/>
        <a:lstStyle/>
        <a:p>
          <a:endParaRPr lang="pl-PL">
            <a:latin typeface="Times New Roman" panose="02020603050405020304" pitchFamily="18" charset="0"/>
            <a:cs typeface="Times New Roman" panose="02020603050405020304" pitchFamily="18" charset="0"/>
          </a:endParaRPr>
        </a:p>
      </dgm:t>
    </dgm:pt>
    <dgm:pt modelId="{D3DB29E8-6611-4385-A180-1D3A31181F36}">
      <dgm:prSet phldrT="[Tekst]"/>
      <dgm:spPr/>
      <dgm:t>
        <a:bodyPr/>
        <a:lstStyle/>
        <a:p>
          <a:r>
            <a:rPr lang="pl-PL" dirty="0">
              <a:latin typeface="Times New Roman" panose="02020603050405020304" pitchFamily="18" charset="0"/>
              <a:cs typeface="Times New Roman" panose="02020603050405020304" pitchFamily="18" charset="0"/>
            </a:rPr>
            <a:t>3. Warunki mieszkaniowe</a:t>
          </a:r>
        </a:p>
      </dgm:t>
    </dgm:pt>
    <dgm:pt modelId="{8388B56D-0EE7-45A3-A63D-7FDB9D132D04}" type="parTrans" cxnId="{ACF4E430-28EE-4490-AB50-041E3E872F0A}">
      <dgm:prSet/>
      <dgm:spPr/>
      <dgm:t>
        <a:bodyPr/>
        <a:lstStyle/>
        <a:p>
          <a:endParaRPr lang="pl-PL">
            <a:latin typeface="Times New Roman" panose="02020603050405020304" pitchFamily="18" charset="0"/>
            <a:cs typeface="Times New Roman" panose="02020603050405020304" pitchFamily="18" charset="0"/>
          </a:endParaRPr>
        </a:p>
      </dgm:t>
    </dgm:pt>
    <dgm:pt modelId="{ACD9781C-7506-46D5-8A4E-1604FC1618E6}" type="sibTrans" cxnId="{ACF4E430-28EE-4490-AB50-041E3E872F0A}">
      <dgm:prSet/>
      <dgm:spPr/>
      <dgm:t>
        <a:bodyPr/>
        <a:lstStyle/>
        <a:p>
          <a:endParaRPr lang="pl-PL">
            <a:latin typeface="Times New Roman" panose="02020603050405020304" pitchFamily="18" charset="0"/>
            <a:cs typeface="Times New Roman" panose="02020603050405020304" pitchFamily="18" charset="0"/>
          </a:endParaRPr>
        </a:p>
      </dgm:t>
    </dgm:pt>
    <dgm:pt modelId="{F10C67EF-C0F2-4E7E-ABF3-EEEAD529E739}">
      <dgm:prSet phldrT="[Tekst]"/>
      <dgm:spPr/>
      <dgm:t>
        <a:bodyPr/>
        <a:lstStyle/>
        <a:p>
          <a:r>
            <a:rPr lang="pl-PL">
              <a:latin typeface="Times New Roman" panose="02020603050405020304" pitchFamily="18" charset="0"/>
              <a:cs typeface="Times New Roman" panose="02020603050405020304" pitchFamily="18" charset="0"/>
            </a:rPr>
            <a:t>4. Zdrowie</a:t>
          </a:r>
        </a:p>
      </dgm:t>
    </dgm:pt>
    <dgm:pt modelId="{4F88920B-7215-4A89-9FC2-F4C79548F25B}" type="parTrans" cxnId="{D34CE8DD-2A74-4CDA-92A7-A8BFB6E2CF1E}">
      <dgm:prSet/>
      <dgm:spPr/>
      <dgm:t>
        <a:bodyPr/>
        <a:lstStyle/>
        <a:p>
          <a:endParaRPr lang="pl-PL">
            <a:latin typeface="Times New Roman" panose="02020603050405020304" pitchFamily="18" charset="0"/>
            <a:cs typeface="Times New Roman" panose="02020603050405020304" pitchFamily="18" charset="0"/>
          </a:endParaRPr>
        </a:p>
      </dgm:t>
    </dgm:pt>
    <dgm:pt modelId="{6F65186F-278A-47A6-91D9-4C75844C93DC}" type="sibTrans" cxnId="{D34CE8DD-2A74-4CDA-92A7-A8BFB6E2CF1E}">
      <dgm:prSet/>
      <dgm:spPr/>
      <dgm:t>
        <a:bodyPr/>
        <a:lstStyle/>
        <a:p>
          <a:endParaRPr lang="pl-PL">
            <a:latin typeface="Times New Roman" panose="02020603050405020304" pitchFamily="18" charset="0"/>
            <a:cs typeface="Times New Roman" panose="02020603050405020304" pitchFamily="18" charset="0"/>
          </a:endParaRPr>
        </a:p>
      </dgm:t>
    </dgm:pt>
    <dgm:pt modelId="{3059497E-90A8-483A-92C9-E67678379A0E}">
      <dgm:prSet phldrT="[Tekst]"/>
      <dgm:spPr/>
      <dgm:t>
        <a:bodyPr/>
        <a:lstStyle/>
        <a:p>
          <a:r>
            <a:rPr lang="pl-PL">
              <a:latin typeface="Times New Roman" panose="02020603050405020304" pitchFamily="18" charset="0"/>
              <a:cs typeface="Times New Roman" panose="02020603050405020304" pitchFamily="18" charset="0"/>
            </a:rPr>
            <a:t>5. Edukacja</a:t>
          </a:r>
        </a:p>
      </dgm:t>
    </dgm:pt>
    <dgm:pt modelId="{818EE03C-485B-4FDE-A11B-DB0D5514A3D6}" type="parTrans" cxnId="{E2772753-6350-4C71-85DA-ADB8092057EE}">
      <dgm:prSet/>
      <dgm:spPr/>
      <dgm:t>
        <a:bodyPr/>
        <a:lstStyle/>
        <a:p>
          <a:endParaRPr lang="pl-PL">
            <a:latin typeface="Times New Roman" panose="02020603050405020304" pitchFamily="18" charset="0"/>
            <a:cs typeface="Times New Roman" panose="02020603050405020304" pitchFamily="18" charset="0"/>
          </a:endParaRPr>
        </a:p>
      </dgm:t>
    </dgm:pt>
    <dgm:pt modelId="{4EB9AA37-F46F-4F28-A7E8-0F1E982FBC02}" type="sibTrans" cxnId="{E2772753-6350-4C71-85DA-ADB8092057EE}">
      <dgm:prSet/>
      <dgm:spPr/>
      <dgm:t>
        <a:bodyPr/>
        <a:lstStyle/>
        <a:p>
          <a:endParaRPr lang="pl-PL">
            <a:latin typeface="Times New Roman" panose="02020603050405020304" pitchFamily="18" charset="0"/>
            <a:cs typeface="Times New Roman" panose="02020603050405020304" pitchFamily="18" charset="0"/>
          </a:endParaRPr>
        </a:p>
      </dgm:t>
    </dgm:pt>
    <dgm:pt modelId="{F3C835C6-00DE-4EFD-8D0C-6FEB2760FEE5}">
      <dgm:prSet phldrT="[Tekst]"/>
      <dgm:spPr/>
      <dgm:t>
        <a:bodyPr/>
        <a:lstStyle/>
        <a:p>
          <a:r>
            <a:rPr lang="pl-PL">
              <a:latin typeface="Times New Roman" panose="02020603050405020304" pitchFamily="18" charset="0"/>
              <a:cs typeface="Times New Roman" panose="02020603050405020304" pitchFamily="18" charset="0"/>
            </a:rPr>
            <a:t>7. Ochrona środowiska</a:t>
          </a:r>
        </a:p>
      </dgm:t>
    </dgm:pt>
    <dgm:pt modelId="{B654E10F-66ED-4C2D-9995-8B2B75960200}" type="parTrans" cxnId="{71F96DD6-FE92-4E8A-8CEE-63CACAF00FA5}">
      <dgm:prSet/>
      <dgm:spPr/>
      <dgm:t>
        <a:bodyPr/>
        <a:lstStyle/>
        <a:p>
          <a:endParaRPr lang="pl-PL">
            <a:latin typeface="Times New Roman" panose="02020603050405020304" pitchFamily="18" charset="0"/>
            <a:cs typeface="Times New Roman" panose="02020603050405020304" pitchFamily="18" charset="0"/>
          </a:endParaRPr>
        </a:p>
      </dgm:t>
    </dgm:pt>
    <dgm:pt modelId="{E1B9F224-C148-453D-A16D-8AEE4011772C}" type="sibTrans" cxnId="{71F96DD6-FE92-4E8A-8CEE-63CACAF00FA5}">
      <dgm:prSet/>
      <dgm:spPr/>
      <dgm:t>
        <a:bodyPr/>
        <a:lstStyle/>
        <a:p>
          <a:endParaRPr lang="pl-PL">
            <a:latin typeface="Times New Roman" panose="02020603050405020304" pitchFamily="18" charset="0"/>
            <a:cs typeface="Times New Roman" panose="02020603050405020304" pitchFamily="18" charset="0"/>
          </a:endParaRPr>
        </a:p>
      </dgm:t>
    </dgm:pt>
    <dgm:pt modelId="{05489EF5-4EF8-4E81-983B-F7C2C380E9D2}">
      <dgm:prSet phldrT="[Tekst]"/>
      <dgm:spPr/>
      <dgm:t>
        <a:bodyPr/>
        <a:lstStyle/>
        <a:p>
          <a:r>
            <a:rPr lang="pl-PL">
              <a:latin typeface="Times New Roman" panose="02020603050405020304" pitchFamily="18" charset="0"/>
              <a:cs typeface="Times New Roman" panose="02020603050405020304" pitchFamily="18" charset="0"/>
            </a:rPr>
            <a:t>6. Trasnport i infrastruktura</a:t>
          </a:r>
        </a:p>
      </dgm:t>
    </dgm:pt>
    <dgm:pt modelId="{AC0661A8-FE74-46A2-811F-65AD8E48D2BB}" type="parTrans" cxnId="{D5EA9E2E-C9C2-47D8-BEF7-61E075E5BB91}">
      <dgm:prSet/>
      <dgm:spPr/>
      <dgm:t>
        <a:bodyPr/>
        <a:lstStyle/>
        <a:p>
          <a:endParaRPr lang="pl-PL">
            <a:latin typeface="Times New Roman" panose="02020603050405020304" pitchFamily="18" charset="0"/>
            <a:cs typeface="Times New Roman" panose="02020603050405020304" pitchFamily="18" charset="0"/>
          </a:endParaRPr>
        </a:p>
      </dgm:t>
    </dgm:pt>
    <dgm:pt modelId="{7D5017B4-574A-47E4-94AE-EB314C0CDDB6}" type="sibTrans" cxnId="{D5EA9E2E-C9C2-47D8-BEF7-61E075E5BB91}">
      <dgm:prSet/>
      <dgm:spPr/>
      <dgm:t>
        <a:bodyPr/>
        <a:lstStyle/>
        <a:p>
          <a:endParaRPr lang="pl-PL">
            <a:latin typeface="Times New Roman" panose="02020603050405020304" pitchFamily="18" charset="0"/>
            <a:cs typeface="Times New Roman" panose="02020603050405020304" pitchFamily="18" charset="0"/>
          </a:endParaRPr>
        </a:p>
      </dgm:t>
    </dgm:pt>
    <dgm:pt modelId="{C58F128A-6347-4C37-95AA-23FC62E923D9}">
      <dgm:prSet phldrT="[Tekst]"/>
      <dgm:spPr/>
      <dgm:t>
        <a:bodyPr/>
        <a:lstStyle/>
        <a:p>
          <a:r>
            <a:rPr lang="pl-PL" b="1">
              <a:latin typeface="Times New Roman" panose="02020603050405020304" pitchFamily="18" charset="0"/>
              <a:cs typeface="Times New Roman" panose="02020603050405020304" pitchFamily="18" charset="0"/>
            </a:rPr>
            <a:t>0,23</a:t>
          </a:r>
        </a:p>
      </dgm:t>
    </dgm:pt>
    <dgm:pt modelId="{BFC0845B-AAC3-4915-87EA-CD11B3F77F7D}" type="parTrans" cxnId="{7CAD5507-A223-4663-B281-E924D8D4816B}">
      <dgm:prSet/>
      <dgm:spPr/>
      <dgm:t>
        <a:bodyPr/>
        <a:lstStyle/>
        <a:p>
          <a:endParaRPr lang="pl-PL" sz="1200">
            <a:latin typeface="Times New Roman" panose="02020603050405020304" pitchFamily="18" charset="0"/>
            <a:cs typeface="Times New Roman" panose="02020603050405020304" pitchFamily="18" charset="0"/>
          </a:endParaRPr>
        </a:p>
      </dgm:t>
    </dgm:pt>
    <dgm:pt modelId="{288B32C5-8F59-4A65-B8D4-0C8BC72F4DED}" type="sibTrans" cxnId="{7CAD5507-A223-4663-B281-E924D8D4816B}">
      <dgm:prSet/>
      <dgm:spPr/>
      <dgm:t>
        <a:bodyPr/>
        <a:lstStyle/>
        <a:p>
          <a:endParaRPr lang="pl-PL">
            <a:latin typeface="Times New Roman" panose="02020603050405020304" pitchFamily="18" charset="0"/>
            <a:cs typeface="Times New Roman" panose="02020603050405020304" pitchFamily="18" charset="0"/>
          </a:endParaRPr>
        </a:p>
      </dgm:t>
    </dgm:pt>
    <dgm:pt modelId="{C5F60EB1-D8B0-48F3-913B-16EEC0518C89}">
      <dgm:prSet phldrT="[Tekst]"/>
      <dgm:spPr/>
      <dgm:t>
        <a:bodyPr/>
        <a:lstStyle/>
        <a:p>
          <a:r>
            <a:rPr lang="pl-PL" b="1">
              <a:latin typeface="Times New Roman" panose="02020603050405020304" pitchFamily="18" charset="0"/>
              <a:cs typeface="Times New Roman" panose="02020603050405020304" pitchFamily="18" charset="0"/>
            </a:rPr>
            <a:t>0,16</a:t>
          </a:r>
        </a:p>
      </dgm:t>
    </dgm:pt>
    <dgm:pt modelId="{EB9F22E7-5660-4047-ABFA-7F3BDF4424C6}" type="parTrans" cxnId="{F3DE556B-EE66-4C2F-80AC-6B804CA07D4B}">
      <dgm:prSet/>
      <dgm:spPr/>
      <dgm:t>
        <a:bodyPr/>
        <a:lstStyle/>
        <a:p>
          <a:endParaRPr lang="pl-PL" sz="1200">
            <a:latin typeface="Times New Roman" panose="02020603050405020304" pitchFamily="18" charset="0"/>
            <a:cs typeface="Times New Roman" panose="02020603050405020304" pitchFamily="18" charset="0"/>
          </a:endParaRPr>
        </a:p>
      </dgm:t>
    </dgm:pt>
    <dgm:pt modelId="{EF8C7743-0253-4108-B71B-188A96342143}" type="sibTrans" cxnId="{F3DE556B-EE66-4C2F-80AC-6B804CA07D4B}">
      <dgm:prSet/>
      <dgm:spPr/>
      <dgm:t>
        <a:bodyPr/>
        <a:lstStyle/>
        <a:p>
          <a:endParaRPr lang="pl-PL">
            <a:latin typeface="Times New Roman" panose="02020603050405020304" pitchFamily="18" charset="0"/>
            <a:cs typeface="Times New Roman" panose="02020603050405020304" pitchFamily="18" charset="0"/>
          </a:endParaRPr>
        </a:p>
      </dgm:t>
    </dgm:pt>
    <dgm:pt modelId="{4CF435E2-8F78-4E30-AC31-027DF32A88C2}">
      <dgm:prSet phldrT="[Tekst]"/>
      <dgm:spPr/>
      <dgm:t>
        <a:bodyPr/>
        <a:lstStyle/>
        <a:p>
          <a:r>
            <a:rPr lang="pl-PL" b="1">
              <a:latin typeface="Times New Roman" panose="02020603050405020304" pitchFamily="18" charset="0"/>
              <a:cs typeface="Times New Roman" panose="02020603050405020304" pitchFamily="18" charset="0"/>
            </a:rPr>
            <a:t>0,10</a:t>
          </a:r>
        </a:p>
      </dgm:t>
    </dgm:pt>
    <dgm:pt modelId="{1BC863A8-D9BE-4BCD-B623-1A88694D0923}" type="parTrans" cxnId="{E2CBD4D4-40B9-4782-9344-500A26719901}">
      <dgm:prSet/>
      <dgm:spPr/>
      <dgm:t>
        <a:bodyPr/>
        <a:lstStyle/>
        <a:p>
          <a:endParaRPr lang="pl-PL" sz="1200">
            <a:latin typeface="Times New Roman" panose="02020603050405020304" pitchFamily="18" charset="0"/>
            <a:cs typeface="Times New Roman" panose="02020603050405020304" pitchFamily="18" charset="0"/>
          </a:endParaRPr>
        </a:p>
      </dgm:t>
    </dgm:pt>
    <dgm:pt modelId="{A8C0B5E9-E3F9-4C66-8887-1ED07DDC61C4}" type="sibTrans" cxnId="{E2CBD4D4-40B9-4782-9344-500A26719901}">
      <dgm:prSet/>
      <dgm:spPr/>
      <dgm:t>
        <a:bodyPr/>
        <a:lstStyle/>
        <a:p>
          <a:endParaRPr lang="pl-PL">
            <a:latin typeface="Times New Roman" panose="02020603050405020304" pitchFamily="18" charset="0"/>
            <a:cs typeface="Times New Roman" panose="02020603050405020304" pitchFamily="18" charset="0"/>
          </a:endParaRPr>
        </a:p>
      </dgm:t>
    </dgm:pt>
    <dgm:pt modelId="{B53AEA62-6C73-48C8-82EE-CDDA80667045}">
      <dgm:prSet phldrT="[Tekst]"/>
      <dgm:spPr/>
      <dgm:t>
        <a:bodyPr/>
        <a:lstStyle/>
        <a:p>
          <a:r>
            <a:rPr lang="pl-PL" b="1">
              <a:latin typeface="Times New Roman" panose="02020603050405020304" pitchFamily="18" charset="0"/>
              <a:cs typeface="Times New Roman" panose="02020603050405020304" pitchFamily="18" charset="0"/>
            </a:rPr>
            <a:t>0,22</a:t>
          </a:r>
        </a:p>
      </dgm:t>
    </dgm:pt>
    <dgm:pt modelId="{6ACEF3A2-A48B-4724-A96E-741894F7C559}" type="parTrans" cxnId="{6DB9BFA2-AC28-4840-9C4C-3AF020F83CF4}">
      <dgm:prSet/>
      <dgm:spPr/>
      <dgm:t>
        <a:bodyPr/>
        <a:lstStyle/>
        <a:p>
          <a:endParaRPr lang="pl-PL" sz="1200">
            <a:latin typeface="Times New Roman" panose="02020603050405020304" pitchFamily="18" charset="0"/>
            <a:cs typeface="Times New Roman" panose="02020603050405020304" pitchFamily="18" charset="0"/>
          </a:endParaRPr>
        </a:p>
      </dgm:t>
    </dgm:pt>
    <dgm:pt modelId="{60D112AA-F284-4E70-BBCF-E2431550DBEB}" type="sibTrans" cxnId="{6DB9BFA2-AC28-4840-9C4C-3AF020F83CF4}">
      <dgm:prSet/>
      <dgm:spPr/>
      <dgm:t>
        <a:bodyPr/>
        <a:lstStyle/>
        <a:p>
          <a:endParaRPr lang="pl-PL">
            <a:latin typeface="Times New Roman" panose="02020603050405020304" pitchFamily="18" charset="0"/>
            <a:cs typeface="Times New Roman" panose="02020603050405020304" pitchFamily="18" charset="0"/>
          </a:endParaRPr>
        </a:p>
      </dgm:t>
    </dgm:pt>
    <dgm:pt modelId="{41B0B44A-42D9-4D65-93D6-DFA550C052FC}">
      <dgm:prSet phldrT="[Tekst]"/>
      <dgm:spPr/>
      <dgm:t>
        <a:bodyPr/>
        <a:lstStyle/>
        <a:p>
          <a:r>
            <a:rPr lang="pl-PL" b="1">
              <a:latin typeface="Times New Roman" panose="02020603050405020304" pitchFamily="18" charset="0"/>
              <a:cs typeface="Times New Roman" panose="02020603050405020304" pitchFamily="18" charset="0"/>
            </a:rPr>
            <a:t>0,17</a:t>
          </a:r>
        </a:p>
      </dgm:t>
    </dgm:pt>
    <dgm:pt modelId="{F44114D6-6725-4EE2-AEC8-7AA14608B672}" type="parTrans" cxnId="{16F10D19-CBA2-45FE-B327-CBE7A7E67423}">
      <dgm:prSet/>
      <dgm:spPr/>
      <dgm:t>
        <a:bodyPr/>
        <a:lstStyle/>
        <a:p>
          <a:endParaRPr lang="pl-PL" sz="1200">
            <a:latin typeface="Times New Roman" panose="02020603050405020304" pitchFamily="18" charset="0"/>
            <a:cs typeface="Times New Roman" panose="02020603050405020304" pitchFamily="18" charset="0"/>
          </a:endParaRPr>
        </a:p>
      </dgm:t>
    </dgm:pt>
    <dgm:pt modelId="{57094B35-C5E9-4867-A71F-0F2B7AA72B7B}" type="sibTrans" cxnId="{16F10D19-CBA2-45FE-B327-CBE7A7E67423}">
      <dgm:prSet/>
      <dgm:spPr/>
      <dgm:t>
        <a:bodyPr/>
        <a:lstStyle/>
        <a:p>
          <a:endParaRPr lang="pl-PL">
            <a:latin typeface="Times New Roman" panose="02020603050405020304" pitchFamily="18" charset="0"/>
            <a:cs typeface="Times New Roman" panose="02020603050405020304" pitchFamily="18" charset="0"/>
          </a:endParaRPr>
        </a:p>
      </dgm:t>
    </dgm:pt>
    <dgm:pt modelId="{8A4FCDD4-0B60-4350-AD4C-79E63B57B153}">
      <dgm:prSet phldrT="[Tekst]"/>
      <dgm:spPr/>
      <dgm:t>
        <a:bodyPr/>
        <a:lstStyle/>
        <a:p>
          <a:r>
            <a:rPr lang="pl-PL" b="1">
              <a:latin typeface="Times New Roman" panose="02020603050405020304" pitchFamily="18" charset="0"/>
              <a:cs typeface="Times New Roman" panose="02020603050405020304" pitchFamily="18" charset="0"/>
            </a:rPr>
            <a:t>0,06</a:t>
          </a:r>
        </a:p>
      </dgm:t>
    </dgm:pt>
    <dgm:pt modelId="{35FBC888-8128-46A3-AC1E-049C612C362E}" type="parTrans" cxnId="{8832F11F-F316-40EB-B6BF-A6FB884EDF32}">
      <dgm:prSet/>
      <dgm:spPr/>
      <dgm:t>
        <a:bodyPr/>
        <a:lstStyle/>
        <a:p>
          <a:endParaRPr lang="pl-PL" sz="1200">
            <a:latin typeface="Times New Roman" panose="02020603050405020304" pitchFamily="18" charset="0"/>
            <a:cs typeface="Times New Roman" panose="02020603050405020304" pitchFamily="18" charset="0"/>
          </a:endParaRPr>
        </a:p>
      </dgm:t>
    </dgm:pt>
    <dgm:pt modelId="{8540285C-7035-43ED-A6EC-F8E820E5ACBF}" type="sibTrans" cxnId="{8832F11F-F316-40EB-B6BF-A6FB884EDF32}">
      <dgm:prSet/>
      <dgm:spPr/>
      <dgm:t>
        <a:bodyPr/>
        <a:lstStyle/>
        <a:p>
          <a:endParaRPr lang="pl-PL">
            <a:latin typeface="Times New Roman" panose="02020603050405020304" pitchFamily="18" charset="0"/>
            <a:cs typeface="Times New Roman" panose="02020603050405020304" pitchFamily="18" charset="0"/>
          </a:endParaRPr>
        </a:p>
      </dgm:t>
    </dgm:pt>
    <dgm:pt modelId="{30F9DA7F-29C9-4CBC-B822-26DB927069D0}">
      <dgm:prSet phldrT="[Tekst]"/>
      <dgm:spPr/>
      <dgm:t>
        <a:bodyPr/>
        <a:lstStyle/>
        <a:p>
          <a:r>
            <a:rPr lang="pl-PL" b="1">
              <a:latin typeface="Times New Roman" panose="02020603050405020304" pitchFamily="18" charset="0"/>
              <a:cs typeface="Times New Roman" panose="02020603050405020304" pitchFamily="18" charset="0"/>
            </a:rPr>
            <a:t>0,07</a:t>
          </a:r>
        </a:p>
      </dgm:t>
    </dgm:pt>
    <dgm:pt modelId="{558B973D-B8BB-4013-8978-49F360191EEA}" type="parTrans" cxnId="{7852ADBA-5532-48BF-AC8D-DA2BB27D0E28}">
      <dgm:prSet/>
      <dgm:spPr/>
      <dgm:t>
        <a:bodyPr/>
        <a:lstStyle/>
        <a:p>
          <a:endParaRPr lang="pl-PL" sz="1200">
            <a:latin typeface="Times New Roman" panose="02020603050405020304" pitchFamily="18" charset="0"/>
            <a:cs typeface="Times New Roman" panose="02020603050405020304" pitchFamily="18" charset="0"/>
          </a:endParaRPr>
        </a:p>
      </dgm:t>
    </dgm:pt>
    <dgm:pt modelId="{4292117B-1C31-492C-BA47-54A1F1BC63AA}" type="sibTrans" cxnId="{7852ADBA-5532-48BF-AC8D-DA2BB27D0E28}">
      <dgm:prSet/>
      <dgm:spPr/>
      <dgm:t>
        <a:bodyPr/>
        <a:lstStyle/>
        <a:p>
          <a:endParaRPr lang="pl-PL">
            <a:latin typeface="Times New Roman" panose="02020603050405020304" pitchFamily="18" charset="0"/>
            <a:cs typeface="Times New Roman" panose="02020603050405020304" pitchFamily="18" charset="0"/>
          </a:endParaRPr>
        </a:p>
      </dgm:t>
    </dgm:pt>
    <dgm:pt modelId="{A071AE72-B1B2-4E64-B8D3-C2F0E2F77EA2}">
      <dgm:prSet phldrT="[Tekst]"/>
      <dgm:spPr/>
      <dgm:t>
        <a:bodyPr/>
        <a:lstStyle/>
        <a:p>
          <a:r>
            <a:rPr lang="pl-PL" b="0" i="1">
              <a:latin typeface="Times New Roman" panose="02020603050405020304" pitchFamily="18" charset="0"/>
              <a:cs typeface="Times New Roman" panose="02020603050405020304" pitchFamily="18" charset="0"/>
            </a:rPr>
            <a:t>2 wskaźniki</a:t>
          </a:r>
        </a:p>
      </dgm:t>
    </dgm:pt>
    <dgm:pt modelId="{4472ADD0-380B-43CD-8B42-5C7728DDC03F}" type="parTrans" cxnId="{51DD951A-64AA-4881-A1B7-60F7DB507DCA}">
      <dgm:prSet/>
      <dgm:spPr/>
      <dgm:t>
        <a:bodyPr/>
        <a:lstStyle/>
        <a:p>
          <a:endParaRPr lang="pl-PL">
            <a:latin typeface="Times New Roman" panose="02020603050405020304" pitchFamily="18" charset="0"/>
            <a:cs typeface="Times New Roman" panose="02020603050405020304" pitchFamily="18" charset="0"/>
          </a:endParaRPr>
        </a:p>
      </dgm:t>
    </dgm:pt>
    <dgm:pt modelId="{353E4F1B-7788-48C5-A81B-C3952C01B108}" type="sibTrans" cxnId="{51DD951A-64AA-4881-A1B7-60F7DB507DCA}">
      <dgm:prSet/>
      <dgm:spPr/>
      <dgm:t>
        <a:bodyPr/>
        <a:lstStyle/>
        <a:p>
          <a:endParaRPr lang="pl-PL">
            <a:latin typeface="Times New Roman" panose="02020603050405020304" pitchFamily="18" charset="0"/>
            <a:cs typeface="Times New Roman" panose="02020603050405020304" pitchFamily="18" charset="0"/>
          </a:endParaRPr>
        </a:p>
      </dgm:t>
    </dgm:pt>
    <dgm:pt modelId="{A1BCCA10-2FBC-47CC-A724-60FCB1C3CF27}">
      <dgm:prSet phldrT="[Tekst]"/>
      <dgm:spPr/>
      <dgm:t>
        <a:bodyPr/>
        <a:lstStyle/>
        <a:p>
          <a:r>
            <a:rPr lang="pl-PL" b="0" i="1">
              <a:latin typeface="Times New Roman" panose="02020603050405020304" pitchFamily="18" charset="0"/>
              <a:cs typeface="Times New Roman" panose="02020603050405020304" pitchFamily="18" charset="0"/>
            </a:rPr>
            <a:t>4 wskaźniki</a:t>
          </a:r>
        </a:p>
      </dgm:t>
    </dgm:pt>
    <dgm:pt modelId="{969920DA-4285-4D1D-93A7-6F776EEB74A8}" type="parTrans" cxnId="{F861BF9B-2976-4765-93D3-F16D5A9A9D7D}">
      <dgm:prSet/>
      <dgm:spPr/>
      <dgm:t>
        <a:bodyPr/>
        <a:lstStyle/>
        <a:p>
          <a:endParaRPr lang="pl-PL">
            <a:latin typeface="Times New Roman" panose="02020603050405020304" pitchFamily="18" charset="0"/>
            <a:cs typeface="Times New Roman" panose="02020603050405020304" pitchFamily="18" charset="0"/>
          </a:endParaRPr>
        </a:p>
      </dgm:t>
    </dgm:pt>
    <dgm:pt modelId="{BEE31689-3BAF-4F78-960C-720BE87002F8}" type="sibTrans" cxnId="{F861BF9B-2976-4765-93D3-F16D5A9A9D7D}">
      <dgm:prSet/>
      <dgm:spPr/>
      <dgm:t>
        <a:bodyPr/>
        <a:lstStyle/>
        <a:p>
          <a:endParaRPr lang="pl-PL">
            <a:latin typeface="Times New Roman" panose="02020603050405020304" pitchFamily="18" charset="0"/>
            <a:cs typeface="Times New Roman" panose="02020603050405020304" pitchFamily="18" charset="0"/>
          </a:endParaRPr>
        </a:p>
      </dgm:t>
    </dgm:pt>
    <dgm:pt modelId="{48DDAB86-5F5B-4A9A-AB3A-645564CBBD01}">
      <dgm:prSet phldrT="[Tekst]"/>
      <dgm:spPr/>
      <dgm:t>
        <a:bodyPr/>
        <a:lstStyle/>
        <a:p>
          <a:r>
            <a:rPr lang="pl-PL" b="0" i="1">
              <a:latin typeface="Times New Roman" panose="02020603050405020304" pitchFamily="18" charset="0"/>
              <a:cs typeface="Times New Roman" panose="02020603050405020304" pitchFamily="18" charset="0"/>
            </a:rPr>
            <a:t>4 wskaźniki</a:t>
          </a:r>
        </a:p>
      </dgm:t>
    </dgm:pt>
    <dgm:pt modelId="{30265373-21CA-4E23-AAA9-330B3C0AD35D}" type="parTrans" cxnId="{B39F57F4-DB54-414D-9B19-ED8B860E20D7}">
      <dgm:prSet/>
      <dgm:spPr/>
      <dgm:t>
        <a:bodyPr/>
        <a:lstStyle/>
        <a:p>
          <a:endParaRPr lang="pl-PL">
            <a:latin typeface="Times New Roman" panose="02020603050405020304" pitchFamily="18" charset="0"/>
            <a:cs typeface="Times New Roman" panose="02020603050405020304" pitchFamily="18" charset="0"/>
          </a:endParaRPr>
        </a:p>
      </dgm:t>
    </dgm:pt>
    <dgm:pt modelId="{DEC2CEC2-F820-41C6-A95D-F04544FF6230}" type="sibTrans" cxnId="{B39F57F4-DB54-414D-9B19-ED8B860E20D7}">
      <dgm:prSet/>
      <dgm:spPr/>
      <dgm:t>
        <a:bodyPr/>
        <a:lstStyle/>
        <a:p>
          <a:endParaRPr lang="pl-PL">
            <a:latin typeface="Times New Roman" panose="02020603050405020304" pitchFamily="18" charset="0"/>
            <a:cs typeface="Times New Roman" panose="02020603050405020304" pitchFamily="18" charset="0"/>
          </a:endParaRPr>
        </a:p>
      </dgm:t>
    </dgm:pt>
    <dgm:pt modelId="{47C86BAE-61AF-473D-89B1-5986BB82BA77}">
      <dgm:prSet phldrT="[Tekst]"/>
      <dgm:spPr/>
      <dgm:t>
        <a:bodyPr/>
        <a:lstStyle/>
        <a:p>
          <a:r>
            <a:rPr lang="pl-PL" b="0" i="1">
              <a:latin typeface="Times New Roman" panose="02020603050405020304" pitchFamily="18" charset="0"/>
              <a:cs typeface="Times New Roman" panose="02020603050405020304" pitchFamily="18" charset="0"/>
            </a:rPr>
            <a:t>6 wskaźników</a:t>
          </a:r>
        </a:p>
      </dgm:t>
    </dgm:pt>
    <dgm:pt modelId="{066F3898-A967-49BE-8BCC-1C90CA52F7EB}" type="parTrans" cxnId="{C371D65D-C310-4E65-89FA-4F4BA10EAB9D}">
      <dgm:prSet/>
      <dgm:spPr/>
      <dgm:t>
        <a:bodyPr/>
        <a:lstStyle/>
        <a:p>
          <a:endParaRPr lang="pl-PL">
            <a:latin typeface="Times New Roman" panose="02020603050405020304" pitchFamily="18" charset="0"/>
            <a:cs typeface="Times New Roman" panose="02020603050405020304" pitchFamily="18" charset="0"/>
          </a:endParaRPr>
        </a:p>
      </dgm:t>
    </dgm:pt>
    <dgm:pt modelId="{A6FE9315-D787-418F-8F04-7DE166A944AA}" type="sibTrans" cxnId="{C371D65D-C310-4E65-89FA-4F4BA10EAB9D}">
      <dgm:prSet/>
      <dgm:spPr/>
      <dgm:t>
        <a:bodyPr/>
        <a:lstStyle/>
        <a:p>
          <a:endParaRPr lang="pl-PL">
            <a:latin typeface="Times New Roman" panose="02020603050405020304" pitchFamily="18" charset="0"/>
            <a:cs typeface="Times New Roman" panose="02020603050405020304" pitchFamily="18" charset="0"/>
          </a:endParaRPr>
        </a:p>
      </dgm:t>
    </dgm:pt>
    <dgm:pt modelId="{C78C91FD-EA15-430B-A4D0-8924163C8EA5}">
      <dgm:prSet phldrT="[Tekst]"/>
      <dgm:spPr/>
      <dgm:t>
        <a:bodyPr/>
        <a:lstStyle/>
        <a:p>
          <a:r>
            <a:rPr lang="pl-PL" b="0" i="1">
              <a:latin typeface="Times New Roman" panose="02020603050405020304" pitchFamily="18" charset="0"/>
              <a:cs typeface="Times New Roman" panose="02020603050405020304" pitchFamily="18" charset="0"/>
            </a:rPr>
            <a:t>6 wskaźników</a:t>
          </a:r>
        </a:p>
      </dgm:t>
    </dgm:pt>
    <dgm:pt modelId="{B26163C0-9CC2-445F-AA37-CC86040D6739}" type="parTrans" cxnId="{D603594B-C39D-4766-8C05-44ECCAA1401F}">
      <dgm:prSet/>
      <dgm:spPr/>
      <dgm:t>
        <a:bodyPr/>
        <a:lstStyle/>
        <a:p>
          <a:endParaRPr lang="pl-PL">
            <a:latin typeface="Times New Roman" panose="02020603050405020304" pitchFamily="18" charset="0"/>
            <a:cs typeface="Times New Roman" panose="02020603050405020304" pitchFamily="18" charset="0"/>
          </a:endParaRPr>
        </a:p>
      </dgm:t>
    </dgm:pt>
    <dgm:pt modelId="{E808D7C5-4DAA-47CE-998C-725E23D2512F}" type="sibTrans" cxnId="{D603594B-C39D-4766-8C05-44ECCAA1401F}">
      <dgm:prSet/>
      <dgm:spPr/>
      <dgm:t>
        <a:bodyPr/>
        <a:lstStyle/>
        <a:p>
          <a:endParaRPr lang="pl-PL">
            <a:latin typeface="Times New Roman" panose="02020603050405020304" pitchFamily="18" charset="0"/>
            <a:cs typeface="Times New Roman" panose="02020603050405020304" pitchFamily="18" charset="0"/>
          </a:endParaRPr>
        </a:p>
      </dgm:t>
    </dgm:pt>
    <dgm:pt modelId="{7EAF1C86-2BC3-4F1A-B0DE-A29F69265385}">
      <dgm:prSet phldrT="[Tekst]"/>
      <dgm:spPr/>
      <dgm:t>
        <a:bodyPr/>
        <a:lstStyle/>
        <a:p>
          <a:r>
            <a:rPr lang="pl-PL" b="0" i="1">
              <a:latin typeface="Times New Roman" panose="02020603050405020304" pitchFamily="18" charset="0"/>
              <a:cs typeface="Times New Roman" panose="02020603050405020304" pitchFamily="18" charset="0"/>
            </a:rPr>
            <a:t>6 wskaźników</a:t>
          </a:r>
        </a:p>
      </dgm:t>
    </dgm:pt>
    <dgm:pt modelId="{7436E5D8-88D4-4300-B59D-50CF4EDE0855}" type="parTrans" cxnId="{D23518E3-30DA-4B81-9774-09A1172F59F0}">
      <dgm:prSet/>
      <dgm:spPr/>
      <dgm:t>
        <a:bodyPr/>
        <a:lstStyle/>
        <a:p>
          <a:endParaRPr lang="pl-PL">
            <a:latin typeface="Times New Roman" panose="02020603050405020304" pitchFamily="18" charset="0"/>
            <a:cs typeface="Times New Roman" panose="02020603050405020304" pitchFamily="18" charset="0"/>
          </a:endParaRPr>
        </a:p>
      </dgm:t>
    </dgm:pt>
    <dgm:pt modelId="{CF1AFF9D-25AE-4E49-858C-3839E0CA2532}" type="sibTrans" cxnId="{D23518E3-30DA-4B81-9774-09A1172F59F0}">
      <dgm:prSet/>
      <dgm:spPr/>
      <dgm:t>
        <a:bodyPr/>
        <a:lstStyle/>
        <a:p>
          <a:endParaRPr lang="pl-PL">
            <a:latin typeface="Times New Roman" panose="02020603050405020304" pitchFamily="18" charset="0"/>
            <a:cs typeface="Times New Roman" panose="02020603050405020304" pitchFamily="18" charset="0"/>
          </a:endParaRPr>
        </a:p>
      </dgm:t>
    </dgm:pt>
    <dgm:pt modelId="{72C92992-DEF0-47D6-8AF5-C1498EFA6D7E}">
      <dgm:prSet phldrT="[Tekst]"/>
      <dgm:spPr/>
      <dgm:t>
        <a:bodyPr/>
        <a:lstStyle/>
        <a:p>
          <a:r>
            <a:rPr lang="pl-PL" b="0" i="1">
              <a:latin typeface="Times New Roman" panose="02020603050405020304" pitchFamily="18" charset="0"/>
              <a:cs typeface="Times New Roman" panose="02020603050405020304" pitchFamily="18" charset="0"/>
            </a:rPr>
            <a:t>10 wskaźników</a:t>
          </a:r>
        </a:p>
      </dgm:t>
    </dgm:pt>
    <dgm:pt modelId="{E6E7DFE1-A96C-4F9B-8694-57BE41DA0FF1}" type="parTrans" cxnId="{A1D11824-92F0-403C-A3C4-57202C5FE224}">
      <dgm:prSet/>
      <dgm:spPr/>
      <dgm:t>
        <a:bodyPr/>
        <a:lstStyle/>
        <a:p>
          <a:endParaRPr lang="pl-PL">
            <a:latin typeface="Times New Roman" panose="02020603050405020304" pitchFamily="18" charset="0"/>
            <a:cs typeface="Times New Roman" panose="02020603050405020304" pitchFamily="18" charset="0"/>
          </a:endParaRPr>
        </a:p>
      </dgm:t>
    </dgm:pt>
    <dgm:pt modelId="{F8AEA340-DCAD-4279-BD75-2614265B39E7}" type="sibTrans" cxnId="{A1D11824-92F0-403C-A3C4-57202C5FE224}">
      <dgm:prSet/>
      <dgm:spPr/>
      <dgm:t>
        <a:bodyPr/>
        <a:lstStyle/>
        <a:p>
          <a:endParaRPr lang="pl-PL">
            <a:latin typeface="Times New Roman" panose="02020603050405020304" pitchFamily="18" charset="0"/>
            <a:cs typeface="Times New Roman" panose="02020603050405020304" pitchFamily="18" charset="0"/>
          </a:endParaRPr>
        </a:p>
      </dgm:t>
    </dgm:pt>
    <dgm:pt modelId="{98E86D6A-11F7-4668-B430-9798FCD5593E}" type="pres">
      <dgm:prSet presAssocID="{BF1F814A-7FA0-43AD-8547-147DCCED3451}" presName="hierChild1" presStyleCnt="0">
        <dgm:presLayoutVars>
          <dgm:orgChart val="1"/>
          <dgm:chPref val="1"/>
          <dgm:dir/>
          <dgm:animOne val="branch"/>
          <dgm:animLvl val="lvl"/>
          <dgm:resizeHandles/>
        </dgm:presLayoutVars>
      </dgm:prSet>
      <dgm:spPr/>
    </dgm:pt>
    <dgm:pt modelId="{98FD2FD0-9012-4A4A-A3C2-34CFFDFB8031}" type="pres">
      <dgm:prSet presAssocID="{526CCEBD-48A1-4F36-858B-5871FA9919E3}" presName="hierRoot1" presStyleCnt="0">
        <dgm:presLayoutVars>
          <dgm:hierBranch val="init"/>
        </dgm:presLayoutVars>
      </dgm:prSet>
      <dgm:spPr/>
    </dgm:pt>
    <dgm:pt modelId="{F5798B43-781B-46E2-935C-923403E90BFA}" type="pres">
      <dgm:prSet presAssocID="{526CCEBD-48A1-4F36-858B-5871FA9919E3}" presName="rootComposite1" presStyleCnt="0"/>
      <dgm:spPr/>
    </dgm:pt>
    <dgm:pt modelId="{3192A162-E6C2-461A-8C56-46AB3095246F}" type="pres">
      <dgm:prSet presAssocID="{526CCEBD-48A1-4F36-858B-5871FA9919E3}" presName="rootText1" presStyleLbl="node0" presStyleIdx="0" presStyleCnt="7">
        <dgm:presLayoutVars>
          <dgm:chPref val="3"/>
        </dgm:presLayoutVars>
      </dgm:prSet>
      <dgm:spPr/>
    </dgm:pt>
    <dgm:pt modelId="{EDD7C2EE-704F-4E09-B8A8-34F16CC7AF9C}" type="pres">
      <dgm:prSet presAssocID="{526CCEBD-48A1-4F36-858B-5871FA9919E3}" presName="rootConnector1" presStyleLbl="node1" presStyleIdx="0" presStyleCnt="0"/>
      <dgm:spPr/>
    </dgm:pt>
    <dgm:pt modelId="{BAA08F7C-826E-4D3B-9BCF-2DD3E02DA243}" type="pres">
      <dgm:prSet presAssocID="{526CCEBD-48A1-4F36-858B-5871FA9919E3}" presName="hierChild2" presStyleCnt="0"/>
      <dgm:spPr/>
    </dgm:pt>
    <dgm:pt modelId="{B3863F35-AE90-414B-9719-405A86D68610}" type="pres">
      <dgm:prSet presAssocID="{BFC0845B-AAC3-4915-87EA-CD11B3F77F7D}" presName="Name64" presStyleLbl="parChTrans1D2" presStyleIdx="0" presStyleCnt="7"/>
      <dgm:spPr/>
    </dgm:pt>
    <dgm:pt modelId="{896BFC4B-8470-42A7-9CA8-3AF1CF541C69}" type="pres">
      <dgm:prSet presAssocID="{C58F128A-6347-4C37-95AA-23FC62E923D9}" presName="hierRoot2" presStyleCnt="0">
        <dgm:presLayoutVars>
          <dgm:hierBranch val="init"/>
        </dgm:presLayoutVars>
      </dgm:prSet>
      <dgm:spPr/>
    </dgm:pt>
    <dgm:pt modelId="{1C5D291A-7432-4A39-AB21-9C9683B5D0B8}" type="pres">
      <dgm:prSet presAssocID="{C58F128A-6347-4C37-95AA-23FC62E923D9}" presName="rootComposite" presStyleCnt="0"/>
      <dgm:spPr/>
    </dgm:pt>
    <dgm:pt modelId="{039B4795-509B-4733-BA6B-1BB217121B0F}" type="pres">
      <dgm:prSet presAssocID="{C58F128A-6347-4C37-95AA-23FC62E923D9}" presName="rootText" presStyleLbl="node2" presStyleIdx="0" presStyleCnt="7">
        <dgm:presLayoutVars>
          <dgm:chPref val="3"/>
        </dgm:presLayoutVars>
      </dgm:prSet>
      <dgm:spPr/>
    </dgm:pt>
    <dgm:pt modelId="{68C24859-4868-4FDC-B8F9-8A9E69F57C4E}" type="pres">
      <dgm:prSet presAssocID="{C58F128A-6347-4C37-95AA-23FC62E923D9}" presName="rootConnector" presStyleLbl="node2" presStyleIdx="0" presStyleCnt="7"/>
      <dgm:spPr/>
    </dgm:pt>
    <dgm:pt modelId="{505CA665-141D-4234-969E-E90639B7AFB4}" type="pres">
      <dgm:prSet presAssocID="{C58F128A-6347-4C37-95AA-23FC62E923D9}" presName="hierChild4" presStyleCnt="0"/>
      <dgm:spPr/>
    </dgm:pt>
    <dgm:pt modelId="{1B7D61B0-9824-45F4-838A-91FFCC35EE68}" type="pres">
      <dgm:prSet presAssocID="{4472ADD0-380B-43CD-8B42-5C7728DDC03F}" presName="Name64" presStyleLbl="parChTrans1D3" presStyleIdx="0" presStyleCnt="7"/>
      <dgm:spPr/>
    </dgm:pt>
    <dgm:pt modelId="{56FE27F0-BE0C-4E13-86CE-2888360E1D50}" type="pres">
      <dgm:prSet presAssocID="{A071AE72-B1B2-4E64-B8D3-C2F0E2F77EA2}" presName="hierRoot2" presStyleCnt="0">
        <dgm:presLayoutVars>
          <dgm:hierBranch val="init"/>
        </dgm:presLayoutVars>
      </dgm:prSet>
      <dgm:spPr/>
    </dgm:pt>
    <dgm:pt modelId="{B149B8C2-4FA5-4076-974A-871D6CAA10C4}" type="pres">
      <dgm:prSet presAssocID="{A071AE72-B1B2-4E64-B8D3-C2F0E2F77EA2}" presName="rootComposite" presStyleCnt="0"/>
      <dgm:spPr/>
    </dgm:pt>
    <dgm:pt modelId="{76409644-1496-4006-B528-873E43855C9C}" type="pres">
      <dgm:prSet presAssocID="{A071AE72-B1B2-4E64-B8D3-C2F0E2F77EA2}" presName="rootText" presStyleLbl="node3" presStyleIdx="0" presStyleCnt="7">
        <dgm:presLayoutVars>
          <dgm:chPref val="3"/>
        </dgm:presLayoutVars>
      </dgm:prSet>
      <dgm:spPr/>
    </dgm:pt>
    <dgm:pt modelId="{E860984A-02EF-402E-AD8C-DB949E478776}" type="pres">
      <dgm:prSet presAssocID="{A071AE72-B1B2-4E64-B8D3-C2F0E2F77EA2}" presName="rootConnector" presStyleLbl="node3" presStyleIdx="0" presStyleCnt="7"/>
      <dgm:spPr/>
    </dgm:pt>
    <dgm:pt modelId="{BA2176C1-CD90-4132-953E-7C13EE51DA6F}" type="pres">
      <dgm:prSet presAssocID="{A071AE72-B1B2-4E64-B8D3-C2F0E2F77EA2}" presName="hierChild4" presStyleCnt="0"/>
      <dgm:spPr/>
    </dgm:pt>
    <dgm:pt modelId="{69348624-BD86-4FC4-BEF7-BD84CA100020}" type="pres">
      <dgm:prSet presAssocID="{A071AE72-B1B2-4E64-B8D3-C2F0E2F77EA2}" presName="hierChild5" presStyleCnt="0"/>
      <dgm:spPr/>
    </dgm:pt>
    <dgm:pt modelId="{B53F07D5-56EF-45DA-915A-C580C7E03E72}" type="pres">
      <dgm:prSet presAssocID="{C58F128A-6347-4C37-95AA-23FC62E923D9}" presName="hierChild5" presStyleCnt="0"/>
      <dgm:spPr/>
    </dgm:pt>
    <dgm:pt modelId="{E0EB945D-106F-449A-9D99-7F71323634D3}" type="pres">
      <dgm:prSet presAssocID="{526CCEBD-48A1-4F36-858B-5871FA9919E3}" presName="hierChild3" presStyleCnt="0"/>
      <dgm:spPr/>
    </dgm:pt>
    <dgm:pt modelId="{E1910AA6-B778-466F-AA1C-CE3F5D26C7E2}" type="pres">
      <dgm:prSet presAssocID="{ED3CB622-5D31-490A-9C5C-9A9051074767}" presName="hierRoot1" presStyleCnt="0">
        <dgm:presLayoutVars>
          <dgm:hierBranch val="init"/>
        </dgm:presLayoutVars>
      </dgm:prSet>
      <dgm:spPr/>
    </dgm:pt>
    <dgm:pt modelId="{D459F923-7516-44A2-891F-11C7BCE28F86}" type="pres">
      <dgm:prSet presAssocID="{ED3CB622-5D31-490A-9C5C-9A9051074767}" presName="rootComposite1" presStyleCnt="0"/>
      <dgm:spPr/>
    </dgm:pt>
    <dgm:pt modelId="{A0CC99F8-E6C9-43AA-A2F6-13D4B1587A64}" type="pres">
      <dgm:prSet presAssocID="{ED3CB622-5D31-490A-9C5C-9A9051074767}" presName="rootText1" presStyleLbl="node0" presStyleIdx="1" presStyleCnt="7">
        <dgm:presLayoutVars>
          <dgm:chPref val="3"/>
        </dgm:presLayoutVars>
      </dgm:prSet>
      <dgm:spPr/>
    </dgm:pt>
    <dgm:pt modelId="{0A0358F7-E8DF-4589-A5C9-85D530490769}" type="pres">
      <dgm:prSet presAssocID="{ED3CB622-5D31-490A-9C5C-9A9051074767}" presName="rootConnector1" presStyleLbl="node1" presStyleIdx="0" presStyleCnt="0"/>
      <dgm:spPr/>
    </dgm:pt>
    <dgm:pt modelId="{2611E0E8-942A-4F0C-8046-E78414FBE08D}" type="pres">
      <dgm:prSet presAssocID="{ED3CB622-5D31-490A-9C5C-9A9051074767}" presName="hierChild2" presStyleCnt="0"/>
      <dgm:spPr/>
    </dgm:pt>
    <dgm:pt modelId="{CC263574-94BF-4F46-AAD8-5CFE0DE977CF}" type="pres">
      <dgm:prSet presAssocID="{EB9F22E7-5660-4047-ABFA-7F3BDF4424C6}" presName="Name64" presStyleLbl="parChTrans1D2" presStyleIdx="1" presStyleCnt="7"/>
      <dgm:spPr/>
    </dgm:pt>
    <dgm:pt modelId="{A9DB9808-1C40-4C91-9FE4-80984B9AA585}" type="pres">
      <dgm:prSet presAssocID="{C5F60EB1-D8B0-48F3-913B-16EEC0518C89}" presName="hierRoot2" presStyleCnt="0">
        <dgm:presLayoutVars>
          <dgm:hierBranch val="init"/>
        </dgm:presLayoutVars>
      </dgm:prSet>
      <dgm:spPr/>
    </dgm:pt>
    <dgm:pt modelId="{26CD8BAF-6E65-4089-AAB9-B7F7C9225235}" type="pres">
      <dgm:prSet presAssocID="{C5F60EB1-D8B0-48F3-913B-16EEC0518C89}" presName="rootComposite" presStyleCnt="0"/>
      <dgm:spPr/>
    </dgm:pt>
    <dgm:pt modelId="{83ADDF8D-517C-4145-98B7-DF2C6D16474F}" type="pres">
      <dgm:prSet presAssocID="{C5F60EB1-D8B0-48F3-913B-16EEC0518C89}" presName="rootText" presStyleLbl="node2" presStyleIdx="1" presStyleCnt="7">
        <dgm:presLayoutVars>
          <dgm:chPref val="3"/>
        </dgm:presLayoutVars>
      </dgm:prSet>
      <dgm:spPr/>
    </dgm:pt>
    <dgm:pt modelId="{B53C3927-56F8-48E2-B411-924FBAD3EC6D}" type="pres">
      <dgm:prSet presAssocID="{C5F60EB1-D8B0-48F3-913B-16EEC0518C89}" presName="rootConnector" presStyleLbl="node2" presStyleIdx="1" presStyleCnt="7"/>
      <dgm:spPr/>
    </dgm:pt>
    <dgm:pt modelId="{FF981CC6-10B2-47A4-A91B-355462CF170D}" type="pres">
      <dgm:prSet presAssocID="{C5F60EB1-D8B0-48F3-913B-16EEC0518C89}" presName="hierChild4" presStyleCnt="0"/>
      <dgm:spPr/>
    </dgm:pt>
    <dgm:pt modelId="{8D45B9E1-83B0-4675-8D52-496E701E5783}" type="pres">
      <dgm:prSet presAssocID="{969920DA-4285-4D1D-93A7-6F776EEB74A8}" presName="Name64" presStyleLbl="parChTrans1D3" presStyleIdx="1" presStyleCnt="7"/>
      <dgm:spPr/>
    </dgm:pt>
    <dgm:pt modelId="{CD65E0DB-C22F-493D-928B-39B1F089B513}" type="pres">
      <dgm:prSet presAssocID="{A1BCCA10-2FBC-47CC-A724-60FCB1C3CF27}" presName="hierRoot2" presStyleCnt="0">
        <dgm:presLayoutVars>
          <dgm:hierBranch val="init"/>
        </dgm:presLayoutVars>
      </dgm:prSet>
      <dgm:spPr/>
    </dgm:pt>
    <dgm:pt modelId="{9CD8EE8D-3E3C-438D-B75D-240ED02097B5}" type="pres">
      <dgm:prSet presAssocID="{A1BCCA10-2FBC-47CC-A724-60FCB1C3CF27}" presName="rootComposite" presStyleCnt="0"/>
      <dgm:spPr/>
    </dgm:pt>
    <dgm:pt modelId="{20749DD4-4A4A-4D19-9A9B-29854C8E44E4}" type="pres">
      <dgm:prSet presAssocID="{A1BCCA10-2FBC-47CC-A724-60FCB1C3CF27}" presName="rootText" presStyleLbl="node3" presStyleIdx="1" presStyleCnt="7">
        <dgm:presLayoutVars>
          <dgm:chPref val="3"/>
        </dgm:presLayoutVars>
      </dgm:prSet>
      <dgm:spPr/>
    </dgm:pt>
    <dgm:pt modelId="{ED3D3A1A-ADF9-49B2-BFA7-73D497E57CF8}" type="pres">
      <dgm:prSet presAssocID="{A1BCCA10-2FBC-47CC-A724-60FCB1C3CF27}" presName="rootConnector" presStyleLbl="node3" presStyleIdx="1" presStyleCnt="7"/>
      <dgm:spPr/>
    </dgm:pt>
    <dgm:pt modelId="{C87F2B01-66A8-4550-BB1D-6F15899495CC}" type="pres">
      <dgm:prSet presAssocID="{A1BCCA10-2FBC-47CC-A724-60FCB1C3CF27}" presName="hierChild4" presStyleCnt="0"/>
      <dgm:spPr/>
    </dgm:pt>
    <dgm:pt modelId="{E86EC74E-5CB3-4463-A33F-C260ADEB12D7}" type="pres">
      <dgm:prSet presAssocID="{A1BCCA10-2FBC-47CC-A724-60FCB1C3CF27}" presName="hierChild5" presStyleCnt="0"/>
      <dgm:spPr/>
    </dgm:pt>
    <dgm:pt modelId="{24AA061D-6850-4F75-BDFC-3085F9D791DD}" type="pres">
      <dgm:prSet presAssocID="{C5F60EB1-D8B0-48F3-913B-16EEC0518C89}" presName="hierChild5" presStyleCnt="0"/>
      <dgm:spPr/>
    </dgm:pt>
    <dgm:pt modelId="{38E86CBD-35CA-48AE-8986-683187467534}" type="pres">
      <dgm:prSet presAssocID="{ED3CB622-5D31-490A-9C5C-9A9051074767}" presName="hierChild3" presStyleCnt="0"/>
      <dgm:spPr/>
    </dgm:pt>
    <dgm:pt modelId="{1C7FBFD7-65F8-4CBD-B0E0-304EB845D484}" type="pres">
      <dgm:prSet presAssocID="{D3DB29E8-6611-4385-A180-1D3A31181F36}" presName="hierRoot1" presStyleCnt="0">
        <dgm:presLayoutVars>
          <dgm:hierBranch val="init"/>
        </dgm:presLayoutVars>
      </dgm:prSet>
      <dgm:spPr/>
    </dgm:pt>
    <dgm:pt modelId="{D1EB5786-F8A8-41A2-9940-9A15F586F773}" type="pres">
      <dgm:prSet presAssocID="{D3DB29E8-6611-4385-A180-1D3A31181F36}" presName="rootComposite1" presStyleCnt="0"/>
      <dgm:spPr/>
    </dgm:pt>
    <dgm:pt modelId="{36CFD0A9-14DB-4567-B181-7E5808AD39A5}" type="pres">
      <dgm:prSet presAssocID="{D3DB29E8-6611-4385-A180-1D3A31181F36}" presName="rootText1" presStyleLbl="node0" presStyleIdx="2" presStyleCnt="7">
        <dgm:presLayoutVars>
          <dgm:chPref val="3"/>
        </dgm:presLayoutVars>
      </dgm:prSet>
      <dgm:spPr/>
    </dgm:pt>
    <dgm:pt modelId="{F0E0CD46-B7F8-46A6-BCE5-387308358B75}" type="pres">
      <dgm:prSet presAssocID="{D3DB29E8-6611-4385-A180-1D3A31181F36}" presName="rootConnector1" presStyleLbl="node1" presStyleIdx="0" presStyleCnt="0"/>
      <dgm:spPr/>
    </dgm:pt>
    <dgm:pt modelId="{FF1478AF-CF6A-4F0C-94DD-E227D9B5E8B7}" type="pres">
      <dgm:prSet presAssocID="{D3DB29E8-6611-4385-A180-1D3A31181F36}" presName="hierChild2" presStyleCnt="0"/>
      <dgm:spPr/>
    </dgm:pt>
    <dgm:pt modelId="{139F2A1F-0F55-4C4C-A40D-A2D5368DFD34}" type="pres">
      <dgm:prSet presAssocID="{1BC863A8-D9BE-4BCD-B623-1A88694D0923}" presName="Name64" presStyleLbl="parChTrans1D2" presStyleIdx="2" presStyleCnt="7"/>
      <dgm:spPr/>
    </dgm:pt>
    <dgm:pt modelId="{B89504A8-512C-4497-A63D-401D40D6DF42}" type="pres">
      <dgm:prSet presAssocID="{4CF435E2-8F78-4E30-AC31-027DF32A88C2}" presName="hierRoot2" presStyleCnt="0">
        <dgm:presLayoutVars>
          <dgm:hierBranch val="init"/>
        </dgm:presLayoutVars>
      </dgm:prSet>
      <dgm:spPr/>
    </dgm:pt>
    <dgm:pt modelId="{B4DC4987-3EF4-4B61-9998-6703C30FA255}" type="pres">
      <dgm:prSet presAssocID="{4CF435E2-8F78-4E30-AC31-027DF32A88C2}" presName="rootComposite" presStyleCnt="0"/>
      <dgm:spPr/>
    </dgm:pt>
    <dgm:pt modelId="{076400E9-A028-4318-B704-27110BB09CBB}" type="pres">
      <dgm:prSet presAssocID="{4CF435E2-8F78-4E30-AC31-027DF32A88C2}" presName="rootText" presStyleLbl="node2" presStyleIdx="2" presStyleCnt="7">
        <dgm:presLayoutVars>
          <dgm:chPref val="3"/>
        </dgm:presLayoutVars>
      </dgm:prSet>
      <dgm:spPr/>
    </dgm:pt>
    <dgm:pt modelId="{32996611-A1FB-4B6E-87C6-F17F5DB9497B}" type="pres">
      <dgm:prSet presAssocID="{4CF435E2-8F78-4E30-AC31-027DF32A88C2}" presName="rootConnector" presStyleLbl="node2" presStyleIdx="2" presStyleCnt="7"/>
      <dgm:spPr/>
    </dgm:pt>
    <dgm:pt modelId="{3A124C67-6139-446D-B6E4-BB8750572F67}" type="pres">
      <dgm:prSet presAssocID="{4CF435E2-8F78-4E30-AC31-027DF32A88C2}" presName="hierChild4" presStyleCnt="0"/>
      <dgm:spPr/>
    </dgm:pt>
    <dgm:pt modelId="{63ED3889-D319-40ED-87B6-C88A0ACD683F}" type="pres">
      <dgm:prSet presAssocID="{30265373-21CA-4E23-AAA9-330B3C0AD35D}" presName="Name64" presStyleLbl="parChTrans1D3" presStyleIdx="2" presStyleCnt="7"/>
      <dgm:spPr/>
    </dgm:pt>
    <dgm:pt modelId="{775BC0F6-CEC8-4652-99C7-7D46BDE46660}" type="pres">
      <dgm:prSet presAssocID="{48DDAB86-5F5B-4A9A-AB3A-645564CBBD01}" presName="hierRoot2" presStyleCnt="0">
        <dgm:presLayoutVars>
          <dgm:hierBranch val="init"/>
        </dgm:presLayoutVars>
      </dgm:prSet>
      <dgm:spPr/>
    </dgm:pt>
    <dgm:pt modelId="{93F0EC5F-8D91-41A9-B614-6A80DAD14B42}" type="pres">
      <dgm:prSet presAssocID="{48DDAB86-5F5B-4A9A-AB3A-645564CBBD01}" presName="rootComposite" presStyleCnt="0"/>
      <dgm:spPr/>
    </dgm:pt>
    <dgm:pt modelId="{DF37580D-1A38-4EAF-A5F6-4B1F83CAA5F6}" type="pres">
      <dgm:prSet presAssocID="{48DDAB86-5F5B-4A9A-AB3A-645564CBBD01}" presName="rootText" presStyleLbl="node3" presStyleIdx="2" presStyleCnt="7">
        <dgm:presLayoutVars>
          <dgm:chPref val="3"/>
        </dgm:presLayoutVars>
      </dgm:prSet>
      <dgm:spPr/>
    </dgm:pt>
    <dgm:pt modelId="{4FAC22D5-6E0B-43FF-B4BA-31FBECC7409D}" type="pres">
      <dgm:prSet presAssocID="{48DDAB86-5F5B-4A9A-AB3A-645564CBBD01}" presName="rootConnector" presStyleLbl="node3" presStyleIdx="2" presStyleCnt="7"/>
      <dgm:spPr/>
    </dgm:pt>
    <dgm:pt modelId="{495D5DC7-9F39-4653-893D-80491F1D97FC}" type="pres">
      <dgm:prSet presAssocID="{48DDAB86-5F5B-4A9A-AB3A-645564CBBD01}" presName="hierChild4" presStyleCnt="0"/>
      <dgm:spPr/>
    </dgm:pt>
    <dgm:pt modelId="{2410674B-0AF2-47F7-A896-B88C9A56CE93}" type="pres">
      <dgm:prSet presAssocID="{48DDAB86-5F5B-4A9A-AB3A-645564CBBD01}" presName="hierChild5" presStyleCnt="0"/>
      <dgm:spPr/>
    </dgm:pt>
    <dgm:pt modelId="{ADCA8894-73CF-454E-A39C-62403A83F09D}" type="pres">
      <dgm:prSet presAssocID="{4CF435E2-8F78-4E30-AC31-027DF32A88C2}" presName="hierChild5" presStyleCnt="0"/>
      <dgm:spPr/>
    </dgm:pt>
    <dgm:pt modelId="{F4BFC6E4-0BC2-4CB8-90A7-DBE4DE68FDE1}" type="pres">
      <dgm:prSet presAssocID="{D3DB29E8-6611-4385-A180-1D3A31181F36}" presName="hierChild3" presStyleCnt="0"/>
      <dgm:spPr/>
    </dgm:pt>
    <dgm:pt modelId="{91F3C5D7-5A1B-4474-8602-CB3B4955C3D1}" type="pres">
      <dgm:prSet presAssocID="{F10C67EF-C0F2-4E7E-ABF3-EEEAD529E739}" presName="hierRoot1" presStyleCnt="0">
        <dgm:presLayoutVars>
          <dgm:hierBranch val="init"/>
        </dgm:presLayoutVars>
      </dgm:prSet>
      <dgm:spPr/>
    </dgm:pt>
    <dgm:pt modelId="{71051760-D614-48B4-B34A-570ABF591C20}" type="pres">
      <dgm:prSet presAssocID="{F10C67EF-C0F2-4E7E-ABF3-EEEAD529E739}" presName="rootComposite1" presStyleCnt="0"/>
      <dgm:spPr/>
    </dgm:pt>
    <dgm:pt modelId="{58FDAC32-ACF8-42A0-A197-E780A814C469}" type="pres">
      <dgm:prSet presAssocID="{F10C67EF-C0F2-4E7E-ABF3-EEEAD529E739}" presName="rootText1" presStyleLbl="node0" presStyleIdx="3" presStyleCnt="7">
        <dgm:presLayoutVars>
          <dgm:chPref val="3"/>
        </dgm:presLayoutVars>
      </dgm:prSet>
      <dgm:spPr/>
    </dgm:pt>
    <dgm:pt modelId="{72DB245C-DCF3-4671-87F1-FCB1139D1A03}" type="pres">
      <dgm:prSet presAssocID="{F10C67EF-C0F2-4E7E-ABF3-EEEAD529E739}" presName="rootConnector1" presStyleLbl="node1" presStyleIdx="0" presStyleCnt="0"/>
      <dgm:spPr/>
    </dgm:pt>
    <dgm:pt modelId="{4F3BCC4A-665C-4830-8979-001AF1810DD3}" type="pres">
      <dgm:prSet presAssocID="{F10C67EF-C0F2-4E7E-ABF3-EEEAD529E739}" presName="hierChild2" presStyleCnt="0"/>
      <dgm:spPr/>
    </dgm:pt>
    <dgm:pt modelId="{63933C56-4507-4195-AE89-20AE82CA41A9}" type="pres">
      <dgm:prSet presAssocID="{6ACEF3A2-A48B-4724-A96E-741894F7C559}" presName="Name64" presStyleLbl="parChTrans1D2" presStyleIdx="3" presStyleCnt="7"/>
      <dgm:spPr/>
    </dgm:pt>
    <dgm:pt modelId="{B2BFA503-1F95-4D05-AC2E-2AEB455765F5}" type="pres">
      <dgm:prSet presAssocID="{B53AEA62-6C73-48C8-82EE-CDDA80667045}" presName="hierRoot2" presStyleCnt="0">
        <dgm:presLayoutVars>
          <dgm:hierBranch val="init"/>
        </dgm:presLayoutVars>
      </dgm:prSet>
      <dgm:spPr/>
    </dgm:pt>
    <dgm:pt modelId="{99809462-0F12-4AA9-9CB8-07C39696873F}" type="pres">
      <dgm:prSet presAssocID="{B53AEA62-6C73-48C8-82EE-CDDA80667045}" presName="rootComposite" presStyleCnt="0"/>
      <dgm:spPr/>
    </dgm:pt>
    <dgm:pt modelId="{7ADA1382-BEAE-45C5-B4A8-C523ADEC838A}" type="pres">
      <dgm:prSet presAssocID="{B53AEA62-6C73-48C8-82EE-CDDA80667045}" presName="rootText" presStyleLbl="node2" presStyleIdx="3" presStyleCnt="7">
        <dgm:presLayoutVars>
          <dgm:chPref val="3"/>
        </dgm:presLayoutVars>
      </dgm:prSet>
      <dgm:spPr/>
    </dgm:pt>
    <dgm:pt modelId="{BD6B0231-C3C9-4801-8CFD-5042328BCFF1}" type="pres">
      <dgm:prSet presAssocID="{B53AEA62-6C73-48C8-82EE-CDDA80667045}" presName="rootConnector" presStyleLbl="node2" presStyleIdx="3" presStyleCnt="7"/>
      <dgm:spPr/>
    </dgm:pt>
    <dgm:pt modelId="{A5A87D65-2CD7-4B2C-A397-3C43951ACB9F}" type="pres">
      <dgm:prSet presAssocID="{B53AEA62-6C73-48C8-82EE-CDDA80667045}" presName="hierChild4" presStyleCnt="0"/>
      <dgm:spPr/>
    </dgm:pt>
    <dgm:pt modelId="{22DE68F1-2D09-4833-A326-EB8F13CAD213}" type="pres">
      <dgm:prSet presAssocID="{066F3898-A967-49BE-8BCC-1C90CA52F7EB}" presName="Name64" presStyleLbl="parChTrans1D3" presStyleIdx="3" presStyleCnt="7"/>
      <dgm:spPr/>
    </dgm:pt>
    <dgm:pt modelId="{D946B342-7798-4456-97B0-7CBD35AC42C5}" type="pres">
      <dgm:prSet presAssocID="{47C86BAE-61AF-473D-89B1-5986BB82BA77}" presName="hierRoot2" presStyleCnt="0">
        <dgm:presLayoutVars>
          <dgm:hierBranch val="init"/>
        </dgm:presLayoutVars>
      </dgm:prSet>
      <dgm:spPr/>
    </dgm:pt>
    <dgm:pt modelId="{496B5F50-466A-41B9-A145-0ACD84F02F0B}" type="pres">
      <dgm:prSet presAssocID="{47C86BAE-61AF-473D-89B1-5986BB82BA77}" presName="rootComposite" presStyleCnt="0"/>
      <dgm:spPr/>
    </dgm:pt>
    <dgm:pt modelId="{EBDDEBCC-44F3-4CDA-AF67-16544B1C099E}" type="pres">
      <dgm:prSet presAssocID="{47C86BAE-61AF-473D-89B1-5986BB82BA77}" presName="rootText" presStyleLbl="node3" presStyleIdx="3" presStyleCnt="7">
        <dgm:presLayoutVars>
          <dgm:chPref val="3"/>
        </dgm:presLayoutVars>
      </dgm:prSet>
      <dgm:spPr/>
    </dgm:pt>
    <dgm:pt modelId="{157F73B5-8CEB-4AF3-91F2-982CCF89E460}" type="pres">
      <dgm:prSet presAssocID="{47C86BAE-61AF-473D-89B1-5986BB82BA77}" presName="rootConnector" presStyleLbl="node3" presStyleIdx="3" presStyleCnt="7"/>
      <dgm:spPr/>
    </dgm:pt>
    <dgm:pt modelId="{318F1956-90B8-43D0-93E2-45E1D4E4DF41}" type="pres">
      <dgm:prSet presAssocID="{47C86BAE-61AF-473D-89B1-5986BB82BA77}" presName="hierChild4" presStyleCnt="0"/>
      <dgm:spPr/>
    </dgm:pt>
    <dgm:pt modelId="{DB9FE353-07FB-4A82-94F6-FB56C3B4CA75}" type="pres">
      <dgm:prSet presAssocID="{47C86BAE-61AF-473D-89B1-5986BB82BA77}" presName="hierChild5" presStyleCnt="0"/>
      <dgm:spPr/>
    </dgm:pt>
    <dgm:pt modelId="{F58469CE-3E76-4078-BD8A-DCE944D9C3B3}" type="pres">
      <dgm:prSet presAssocID="{B53AEA62-6C73-48C8-82EE-CDDA80667045}" presName="hierChild5" presStyleCnt="0"/>
      <dgm:spPr/>
    </dgm:pt>
    <dgm:pt modelId="{AC34C841-1EF2-4770-9119-91B64EC4ACFF}" type="pres">
      <dgm:prSet presAssocID="{F10C67EF-C0F2-4E7E-ABF3-EEEAD529E739}" presName="hierChild3" presStyleCnt="0"/>
      <dgm:spPr/>
    </dgm:pt>
    <dgm:pt modelId="{DB0144A4-61A3-4414-8AF0-B1D14A6560C7}" type="pres">
      <dgm:prSet presAssocID="{3059497E-90A8-483A-92C9-E67678379A0E}" presName="hierRoot1" presStyleCnt="0">
        <dgm:presLayoutVars>
          <dgm:hierBranch val="init"/>
        </dgm:presLayoutVars>
      </dgm:prSet>
      <dgm:spPr/>
    </dgm:pt>
    <dgm:pt modelId="{431E1A82-00D6-4584-B7E3-8CEAD8FB766C}" type="pres">
      <dgm:prSet presAssocID="{3059497E-90A8-483A-92C9-E67678379A0E}" presName="rootComposite1" presStyleCnt="0"/>
      <dgm:spPr/>
    </dgm:pt>
    <dgm:pt modelId="{52BBF350-0B8D-4FA3-B667-131965ECA686}" type="pres">
      <dgm:prSet presAssocID="{3059497E-90A8-483A-92C9-E67678379A0E}" presName="rootText1" presStyleLbl="node0" presStyleIdx="4" presStyleCnt="7">
        <dgm:presLayoutVars>
          <dgm:chPref val="3"/>
        </dgm:presLayoutVars>
      </dgm:prSet>
      <dgm:spPr/>
    </dgm:pt>
    <dgm:pt modelId="{EC7688FB-3EF9-45DE-BDF7-E7CC5F82B679}" type="pres">
      <dgm:prSet presAssocID="{3059497E-90A8-483A-92C9-E67678379A0E}" presName="rootConnector1" presStyleLbl="node1" presStyleIdx="0" presStyleCnt="0"/>
      <dgm:spPr/>
    </dgm:pt>
    <dgm:pt modelId="{78D86D0A-6B2A-444E-80B0-471C261CAED8}" type="pres">
      <dgm:prSet presAssocID="{3059497E-90A8-483A-92C9-E67678379A0E}" presName="hierChild2" presStyleCnt="0"/>
      <dgm:spPr/>
    </dgm:pt>
    <dgm:pt modelId="{2602554B-921B-4A37-9CD3-BE5E97F4D92B}" type="pres">
      <dgm:prSet presAssocID="{F44114D6-6725-4EE2-AEC8-7AA14608B672}" presName="Name64" presStyleLbl="parChTrans1D2" presStyleIdx="4" presStyleCnt="7"/>
      <dgm:spPr/>
    </dgm:pt>
    <dgm:pt modelId="{8E5ABC64-1C36-4001-B8CD-E2E511ED84FE}" type="pres">
      <dgm:prSet presAssocID="{41B0B44A-42D9-4D65-93D6-DFA550C052FC}" presName="hierRoot2" presStyleCnt="0">
        <dgm:presLayoutVars>
          <dgm:hierBranch val="init"/>
        </dgm:presLayoutVars>
      </dgm:prSet>
      <dgm:spPr/>
    </dgm:pt>
    <dgm:pt modelId="{08794543-2F93-43E8-BD87-5B44CAF5EDD9}" type="pres">
      <dgm:prSet presAssocID="{41B0B44A-42D9-4D65-93D6-DFA550C052FC}" presName="rootComposite" presStyleCnt="0"/>
      <dgm:spPr/>
    </dgm:pt>
    <dgm:pt modelId="{095D6D73-E373-4643-8CB5-82CA48E871EF}" type="pres">
      <dgm:prSet presAssocID="{41B0B44A-42D9-4D65-93D6-DFA550C052FC}" presName="rootText" presStyleLbl="node2" presStyleIdx="4" presStyleCnt="7">
        <dgm:presLayoutVars>
          <dgm:chPref val="3"/>
        </dgm:presLayoutVars>
      </dgm:prSet>
      <dgm:spPr/>
    </dgm:pt>
    <dgm:pt modelId="{5DEFDDE9-6698-472F-B686-99B779DBF0C7}" type="pres">
      <dgm:prSet presAssocID="{41B0B44A-42D9-4D65-93D6-DFA550C052FC}" presName="rootConnector" presStyleLbl="node2" presStyleIdx="4" presStyleCnt="7"/>
      <dgm:spPr/>
    </dgm:pt>
    <dgm:pt modelId="{FE8E0BF0-DA45-468C-9CEC-EC5497CD65EA}" type="pres">
      <dgm:prSet presAssocID="{41B0B44A-42D9-4D65-93D6-DFA550C052FC}" presName="hierChild4" presStyleCnt="0"/>
      <dgm:spPr/>
    </dgm:pt>
    <dgm:pt modelId="{8CD78A00-3A32-4012-91BE-7C99203585CC}" type="pres">
      <dgm:prSet presAssocID="{B26163C0-9CC2-445F-AA37-CC86040D6739}" presName="Name64" presStyleLbl="parChTrans1D3" presStyleIdx="4" presStyleCnt="7"/>
      <dgm:spPr/>
    </dgm:pt>
    <dgm:pt modelId="{78158E8B-505E-4B90-B4AF-34D4A89116F7}" type="pres">
      <dgm:prSet presAssocID="{C78C91FD-EA15-430B-A4D0-8924163C8EA5}" presName="hierRoot2" presStyleCnt="0">
        <dgm:presLayoutVars>
          <dgm:hierBranch val="init"/>
        </dgm:presLayoutVars>
      </dgm:prSet>
      <dgm:spPr/>
    </dgm:pt>
    <dgm:pt modelId="{95234933-29B9-4666-A58D-911B0A613CD1}" type="pres">
      <dgm:prSet presAssocID="{C78C91FD-EA15-430B-A4D0-8924163C8EA5}" presName="rootComposite" presStyleCnt="0"/>
      <dgm:spPr/>
    </dgm:pt>
    <dgm:pt modelId="{01DC0402-F288-4F7E-8083-DC5AD36D518A}" type="pres">
      <dgm:prSet presAssocID="{C78C91FD-EA15-430B-A4D0-8924163C8EA5}" presName="rootText" presStyleLbl="node3" presStyleIdx="4" presStyleCnt="7">
        <dgm:presLayoutVars>
          <dgm:chPref val="3"/>
        </dgm:presLayoutVars>
      </dgm:prSet>
      <dgm:spPr/>
    </dgm:pt>
    <dgm:pt modelId="{8A15D603-C56E-41D9-9A09-FB306D326D94}" type="pres">
      <dgm:prSet presAssocID="{C78C91FD-EA15-430B-A4D0-8924163C8EA5}" presName="rootConnector" presStyleLbl="node3" presStyleIdx="4" presStyleCnt="7"/>
      <dgm:spPr/>
    </dgm:pt>
    <dgm:pt modelId="{8A5FD286-6DDD-4EEF-A843-148D67AF4962}" type="pres">
      <dgm:prSet presAssocID="{C78C91FD-EA15-430B-A4D0-8924163C8EA5}" presName="hierChild4" presStyleCnt="0"/>
      <dgm:spPr/>
    </dgm:pt>
    <dgm:pt modelId="{EC296F56-3EAF-4D8D-8B83-17C7C25D263B}" type="pres">
      <dgm:prSet presAssocID="{C78C91FD-EA15-430B-A4D0-8924163C8EA5}" presName="hierChild5" presStyleCnt="0"/>
      <dgm:spPr/>
    </dgm:pt>
    <dgm:pt modelId="{5F000D87-7E10-492A-A9BD-D690618E950A}" type="pres">
      <dgm:prSet presAssocID="{41B0B44A-42D9-4D65-93D6-DFA550C052FC}" presName="hierChild5" presStyleCnt="0"/>
      <dgm:spPr/>
    </dgm:pt>
    <dgm:pt modelId="{85774A3D-4891-4A38-A41D-1E925BEC4546}" type="pres">
      <dgm:prSet presAssocID="{3059497E-90A8-483A-92C9-E67678379A0E}" presName="hierChild3" presStyleCnt="0"/>
      <dgm:spPr/>
    </dgm:pt>
    <dgm:pt modelId="{66445BDC-41AC-446B-BDFC-894D668FE937}" type="pres">
      <dgm:prSet presAssocID="{05489EF5-4EF8-4E81-983B-F7C2C380E9D2}" presName="hierRoot1" presStyleCnt="0">
        <dgm:presLayoutVars>
          <dgm:hierBranch val="init"/>
        </dgm:presLayoutVars>
      </dgm:prSet>
      <dgm:spPr/>
    </dgm:pt>
    <dgm:pt modelId="{A4C2ED9A-506F-4AD6-8ADB-8A82CA2B6A79}" type="pres">
      <dgm:prSet presAssocID="{05489EF5-4EF8-4E81-983B-F7C2C380E9D2}" presName="rootComposite1" presStyleCnt="0"/>
      <dgm:spPr/>
    </dgm:pt>
    <dgm:pt modelId="{9178B92C-6AFA-4193-8847-677D4E1F40F2}" type="pres">
      <dgm:prSet presAssocID="{05489EF5-4EF8-4E81-983B-F7C2C380E9D2}" presName="rootText1" presStyleLbl="node0" presStyleIdx="5" presStyleCnt="7">
        <dgm:presLayoutVars>
          <dgm:chPref val="3"/>
        </dgm:presLayoutVars>
      </dgm:prSet>
      <dgm:spPr/>
    </dgm:pt>
    <dgm:pt modelId="{EF079872-6230-40E7-A8D5-256372A2D283}" type="pres">
      <dgm:prSet presAssocID="{05489EF5-4EF8-4E81-983B-F7C2C380E9D2}" presName="rootConnector1" presStyleLbl="node1" presStyleIdx="0" presStyleCnt="0"/>
      <dgm:spPr/>
    </dgm:pt>
    <dgm:pt modelId="{A855E360-A010-45AA-8D8C-DB8AF3094012}" type="pres">
      <dgm:prSet presAssocID="{05489EF5-4EF8-4E81-983B-F7C2C380E9D2}" presName="hierChild2" presStyleCnt="0"/>
      <dgm:spPr/>
    </dgm:pt>
    <dgm:pt modelId="{4816103A-4151-471C-8F3F-F760A7B87CFF}" type="pres">
      <dgm:prSet presAssocID="{35FBC888-8128-46A3-AC1E-049C612C362E}" presName="Name64" presStyleLbl="parChTrans1D2" presStyleIdx="5" presStyleCnt="7"/>
      <dgm:spPr/>
    </dgm:pt>
    <dgm:pt modelId="{CCF02E06-0C4A-436C-9434-B0D16319AF83}" type="pres">
      <dgm:prSet presAssocID="{8A4FCDD4-0B60-4350-AD4C-79E63B57B153}" presName="hierRoot2" presStyleCnt="0">
        <dgm:presLayoutVars>
          <dgm:hierBranch val="init"/>
        </dgm:presLayoutVars>
      </dgm:prSet>
      <dgm:spPr/>
    </dgm:pt>
    <dgm:pt modelId="{993478ED-D029-43E2-88AF-24DF3F185E05}" type="pres">
      <dgm:prSet presAssocID="{8A4FCDD4-0B60-4350-AD4C-79E63B57B153}" presName="rootComposite" presStyleCnt="0"/>
      <dgm:spPr/>
    </dgm:pt>
    <dgm:pt modelId="{124405AB-32CC-4F27-BF53-9E67B7072B47}" type="pres">
      <dgm:prSet presAssocID="{8A4FCDD4-0B60-4350-AD4C-79E63B57B153}" presName="rootText" presStyleLbl="node2" presStyleIdx="5" presStyleCnt="7">
        <dgm:presLayoutVars>
          <dgm:chPref val="3"/>
        </dgm:presLayoutVars>
      </dgm:prSet>
      <dgm:spPr/>
    </dgm:pt>
    <dgm:pt modelId="{B71A243A-A59A-4F2C-8483-44542AE7FB7E}" type="pres">
      <dgm:prSet presAssocID="{8A4FCDD4-0B60-4350-AD4C-79E63B57B153}" presName="rootConnector" presStyleLbl="node2" presStyleIdx="5" presStyleCnt="7"/>
      <dgm:spPr/>
    </dgm:pt>
    <dgm:pt modelId="{96ACD5DB-795D-4CFA-9357-BA34C791F934}" type="pres">
      <dgm:prSet presAssocID="{8A4FCDD4-0B60-4350-AD4C-79E63B57B153}" presName="hierChild4" presStyleCnt="0"/>
      <dgm:spPr/>
    </dgm:pt>
    <dgm:pt modelId="{91CE1C98-B2FC-4AB0-8DB8-3A6370C73977}" type="pres">
      <dgm:prSet presAssocID="{7436E5D8-88D4-4300-B59D-50CF4EDE0855}" presName="Name64" presStyleLbl="parChTrans1D3" presStyleIdx="5" presStyleCnt="7"/>
      <dgm:spPr/>
    </dgm:pt>
    <dgm:pt modelId="{243F1779-CADB-47A2-BA0C-284D79C6EE29}" type="pres">
      <dgm:prSet presAssocID="{7EAF1C86-2BC3-4F1A-B0DE-A29F69265385}" presName="hierRoot2" presStyleCnt="0">
        <dgm:presLayoutVars>
          <dgm:hierBranch val="init"/>
        </dgm:presLayoutVars>
      </dgm:prSet>
      <dgm:spPr/>
    </dgm:pt>
    <dgm:pt modelId="{B4BECE22-45DB-4445-B6D7-0F0122002BFA}" type="pres">
      <dgm:prSet presAssocID="{7EAF1C86-2BC3-4F1A-B0DE-A29F69265385}" presName="rootComposite" presStyleCnt="0"/>
      <dgm:spPr/>
    </dgm:pt>
    <dgm:pt modelId="{0110F9E9-B0F7-4F6F-92E5-EC9B5CABD939}" type="pres">
      <dgm:prSet presAssocID="{7EAF1C86-2BC3-4F1A-B0DE-A29F69265385}" presName="rootText" presStyleLbl="node3" presStyleIdx="5" presStyleCnt="7">
        <dgm:presLayoutVars>
          <dgm:chPref val="3"/>
        </dgm:presLayoutVars>
      </dgm:prSet>
      <dgm:spPr/>
    </dgm:pt>
    <dgm:pt modelId="{BC42D675-2D58-4FBC-8E41-F478CE843D0E}" type="pres">
      <dgm:prSet presAssocID="{7EAF1C86-2BC3-4F1A-B0DE-A29F69265385}" presName="rootConnector" presStyleLbl="node3" presStyleIdx="5" presStyleCnt="7"/>
      <dgm:spPr/>
    </dgm:pt>
    <dgm:pt modelId="{DFE017C5-D0DA-4D08-9413-221FF9047FBB}" type="pres">
      <dgm:prSet presAssocID="{7EAF1C86-2BC3-4F1A-B0DE-A29F69265385}" presName="hierChild4" presStyleCnt="0"/>
      <dgm:spPr/>
    </dgm:pt>
    <dgm:pt modelId="{045A1865-C309-4038-A078-228E37FBBC3F}" type="pres">
      <dgm:prSet presAssocID="{7EAF1C86-2BC3-4F1A-B0DE-A29F69265385}" presName="hierChild5" presStyleCnt="0"/>
      <dgm:spPr/>
    </dgm:pt>
    <dgm:pt modelId="{9D6B01BB-F344-49A1-979A-EA28F76C8128}" type="pres">
      <dgm:prSet presAssocID="{8A4FCDD4-0B60-4350-AD4C-79E63B57B153}" presName="hierChild5" presStyleCnt="0"/>
      <dgm:spPr/>
    </dgm:pt>
    <dgm:pt modelId="{8843631E-75DD-4D38-A66A-81B709B2B59D}" type="pres">
      <dgm:prSet presAssocID="{05489EF5-4EF8-4E81-983B-F7C2C380E9D2}" presName="hierChild3" presStyleCnt="0"/>
      <dgm:spPr/>
    </dgm:pt>
    <dgm:pt modelId="{0F959D71-ADE8-4EF7-A8FB-4DA669A4B2F3}" type="pres">
      <dgm:prSet presAssocID="{F3C835C6-00DE-4EFD-8D0C-6FEB2760FEE5}" presName="hierRoot1" presStyleCnt="0">
        <dgm:presLayoutVars>
          <dgm:hierBranch val="init"/>
        </dgm:presLayoutVars>
      </dgm:prSet>
      <dgm:spPr/>
    </dgm:pt>
    <dgm:pt modelId="{DF0CDD44-81CA-43D5-9320-6EACA1AC0BF3}" type="pres">
      <dgm:prSet presAssocID="{F3C835C6-00DE-4EFD-8D0C-6FEB2760FEE5}" presName="rootComposite1" presStyleCnt="0"/>
      <dgm:spPr/>
    </dgm:pt>
    <dgm:pt modelId="{B66C4C47-71D3-4064-B0BE-4378C243DADC}" type="pres">
      <dgm:prSet presAssocID="{F3C835C6-00DE-4EFD-8D0C-6FEB2760FEE5}" presName="rootText1" presStyleLbl="node0" presStyleIdx="6" presStyleCnt="7">
        <dgm:presLayoutVars>
          <dgm:chPref val="3"/>
        </dgm:presLayoutVars>
      </dgm:prSet>
      <dgm:spPr/>
    </dgm:pt>
    <dgm:pt modelId="{46A17C35-8727-445F-A697-5B16C61D62D6}" type="pres">
      <dgm:prSet presAssocID="{F3C835C6-00DE-4EFD-8D0C-6FEB2760FEE5}" presName="rootConnector1" presStyleLbl="node1" presStyleIdx="0" presStyleCnt="0"/>
      <dgm:spPr/>
    </dgm:pt>
    <dgm:pt modelId="{D59612B8-E300-4D5D-B32F-F88969C75752}" type="pres">
      <dgm:prSet presAssocID="{F3C835C6-00DE-4EFD-8D0C-6FEB2760FEE5}" presName="hierChild2" presStyleCnt="0"/>
      <dgm:spPr/>
    </dgm:pt>
    <dgm:pt modelId="{84F5B11D-04A5-4EFD-81C3-E7521F102E03}" type="pres">
      <dgm:prSet presAssocID="{558B973D-B8BB-4013-8978-49F360191EEA}" presName="Name64" presStyleLbl="parChTrans1D2" presStyleIdx="6" presStyleCnt="7"/>
      <dgm:spPr/>
    </dgm:pt>
    <dgm:pt modelId="{6E2A7416-2C33-49A4-A4CF-45A51F4BBE79}" type="pres">
      <dgm:prSet presAssocID="{30F9DA7F-29C9-4CBC-B822-26DB927069D0}" presName="hierRoot2" presStyleCnt="0">
        <dgm:presLayoutVars>
          <dgm:hierBranch val="init"/>
        </dgm:presLayoutVars>
      </dgm:prSet>
      <dgm:spPr/>
    </dgm:pt>
    <dgm:pt modelId="{76353C50-3B10-45EE-BAF0-341A15AF901C}" type="pres">
      <dgm:prSet presAssocID="{30F9DA7F-29C9-4CBC-B822-26DB927069D0}" presName="rootComposite" presStyleCnt="0"/>
      <dgm:spPr/>
    </dgm:pt>
    <dgm:pt modelId="{9D4785E7-A4DF-4B6D-861F-6F3BD81A9EA0}" type="pres">
      <dgm:prSet presAssocID="{30F9DA7F-29C9-4CBC-B822-26DB927069D0}" presName="rootText" presStyleLbl="node2" presStyleIdx="6" presStyleCnt="7">
        <dgm:presLayoutVars>
          <dgm:chPref val="3"/>
        </dgm:presLayoutVars>
      </dgm:prSet>
      <dgm:spPr/>
    </dgm:pt>
    <dgm:pt modelId="{46783694-5E5E-4C4E-B434-7B0C2F3640A0}" type="pres">
      <dgm:prSet presAssocID="{30F9DA7F-29C9-4CBC-B822-26DB927069D0}" presName="rootConnector" presStyleLbl="node2" presStyleIdx="6" presStyleCnt="7"/>
      <dgm:spPr/>
    </dgm:pt>
    <dgm:pt modelId="{C7215037-21D2-4489-AE11-8CC37338ECD8}" type="pres">
      <dgm:prSet presAssocID="{30F9DA7F-29C9-4CBC-B822-26DB927069D0}" presName="hierChild4" presStyleCnt="0"/>
      <dgm:spPr/>
    </dgm:pt>
    <dgm:pt modelId="{3129E297-E52C-4CB5-89D4-D726FAFC8F64}" type="pres">
      <dgm:prSet presAssocID="{E6E7DFE1-A96C-4F9B-8694-57BE41DA0FF1}" presName="Name64" presStyleLbl="parChTrans1D3" presStyleIdx="6" presStyleCnt="7"/>
      <dgm:spPr/>
    </dgm:pt>
    <dgm:pt modelId="{CA5D67DD-7032-4A44-8991-90E4F30835C4}" type="pres">
      <dgm:prSet presAssocID="{72C92992-DEF0-47D6-8AF5-C1498EFA6D7E}" presName="hierRoot2" presStyleCnt="0">
        <dgm:presLayoutVars>
          <dgm:hierBranch val="init"/>
        </dgm:presLayoutVars>
      </dgm:prSet>
      <dgm:spPr/>
    </dgm:pt>
    <dgm:pt modelId="{ACD0AC1C-5961-4139-B826-FCAD7B9441F9}" type="pres">
      <dgm:prSet presAssocID="{72C92992-DEF0-47D6-8AF5-C1498EFA6D7E}" presName="rootComposite" presStyleCnt="0"/>
      <dgm:spPr/>
    </dgm:pt>
    <dgm:pt modelId="{7E984667-EE27-4A37-8087-9FC87A70835C}" type="pres">
      <dgm:prSet presAssocID="{72C92992-DEF0-47D6-8AF5-C1498EFA6D7E}" presName="rootText" presStyleLbl="node3" presStyleIdx="6" presStyleCnt="7">
        <dgm:presLayoutVars>
          <dgm:chPref val="3"/>
        </dgm:presLayoutVars>
      </dgm:prSet>
      <dgm:spPr/>
    </dgm:pt>
    <dgm:pt modelId="{C0254DF8-89A0-46AC-BAD2-6D21ED07F1F3}" type="pres">
      <dgm:prSet presAssocID="{72C92992-DEF0-47D6-8AF5-C1498EFA6D7E}" presName="rootConnector" presStyleLbl="node3" presStyleIdx="6" presStyleCnt="7"/>
      <dgm:spPr/>
    </dgm:pt>
    <dgm:pt modelId="{2098D6F1-DC80-4FA7-9ECF-5EC4C797949D}" type="pres">
      <dgm:prSet presAssocID="{72C92992-DEF0-47D6-8AF5-C1498EFA6D7E}" presName="hierChild4" presStyleCnt="0"/>
      <dgm:spPr/>
    </dgm:pt>
    <dgm:pt modelId="{CC4EE3AC-5179-4014-A229-289D78DC38CC}" type="pres">
      <dgm:prSet presAssocID="{72C92992-DEF0-47D6-8AF5-C1498EFA6D7E}" presName="hierChild5" presStyleCnt="0"/>
      <dgm:spPr/>
    </dgm:pt>
    <dgm:pt modelId="{62F896F0-5788-4C95-8C2A-768387FE4F3F}" type="pres">
      <dgm:prSet presAssocID="{30F9DA7F-29C9-4CBC-B822-26DB927069D0}" presName="hierChild5" presStyleCnt="0"/>
      <dgm:spPr/>
    </dgm:pt>
    <dgm:pt modelId="{485339E8-F206-4BCB-BDB6-68EAAE2BD67F}" type="pres">
      <dgm:prSet presAssocID="{F3C835C6-00DE-4EFD-8D0C-6FEB2760FEE5}" presName="hierChild3" presStyleCnt="0"/>
      <dgm:spPr/>
    </dgm:pt>
  </dgm:ptLst>
  <dgm:cxnLst>
    <dgm:cxn modelId="{7CAD5507-A223-4663-B281-E924D8D4816B}" srcId="{526CCEBD-48A1-4F36-858B-5871FA9919E3}" destId="{C58F128A-6347-4C37-95AA-23FC62E923D9}" srcOrd="0" destOrd="0" parTransId="{BFC0845B-AAC3-4915-87EA-CD11B3F77F7D}" sibTransId="{288B32C5-8F59-4A65-B8D4-0C8BC72F4DED}"/>
    <dgm:cxn modelId="{C54CC909-A1B5-4A7A-8EED-BA48D5D17BF3}" type="presOf" srcId="{F44114D6-6725-4EE2-AEC8-7AA14608B672}" destId="{2602554B-921B-4A37-9CD3-BE5E97F4D92B}" srcOrd="0" destOrd="0" presId="urn:microsoft.com/office/officeart/2009/3/layout/HorizontalOrganizationChart"/>
    <dgm:cxn modelId="{7F9A9A0B-04C8-4980-ABAC-44621D245193}" type="presOf" srcId="{3059497E-90A8-483A-92C9-E67678379A0E}" destId="{52BBF350-0B8D-4FA3-B667-131965ECA686}" srcOrd="0" destOrd="0" presId="urn:microsoft.com/office/officeart/2009/3/layout/HorizontalOrganizationChart"/>
    <dgm:cxn modelId="{1CEEF312-0FB0-44C7-BD6A-051754AE1969}" type="presOf" srcId="{C78C91FD-EA15-430B-A4D0-8924163C8EA5}" destId="{01DC0402-F288-4F7E-8083-DC5AD36D518A}" srcOrd="0" destOrd="0" presId="urn:microsoft.com/office/officeart/2009/3/layout/HorizontalOrganizationChart"/>
    <dgm:cxn modelId="{7EA18915-6C90-40EA-B8B6-B0CABA8AF7AD}" type="presOf" srcId="{E6E7DFE1-A96C-4F9B-8694-57BE41DA0FF1}" destId="{3129E297-E52C-4CB5-89D4-D726FAFC8F64}" srcOrd="0" destOrd="0" presId="urn:microsoft.com/office/officeart/2009/3/layout/HorizontalOrganizationChart"/>
    <dgm:cxn modelId="{16F10D19-CBA2-45FE-B327-CBE7A7E67423}" srcId="{3059497E-90A8-483A-92C9-E67678379A0E}" destId="{41B0B44A-42D9-4D65-93D6-DFA550C052FC}" srcOrd="0" destOrd="0" parTransId="{F44114D6-6725-4EE2-AEC8-7AA14608B672}" sibTransId="{57094B35-C5E9-4867-A71F-0F2B7AA72B7B}"/>
    <dgm:cxn modelId="{51DD951A-64AA-4881-A1B7-60F7DB507DCA}" srcId="{C58F128A-6347-4C37-95AA-23FC62E923D9}" destId="{A071AE72-B1B2-4E64-B8D3-C2F0E2F77EA2}" srcOrd="0" destOrd="0" parTransId="{4472ADD0-380B-43CD-8B42-5C7728DDC03F}" sibTransId="{353E4F1B-7788-48C5-A81B-C3952C01B108}"/>
    <dgm:cxn modelId="{EB31151D-EC49-47D9-A72B-EDA24694716A}" type="presOf" srcId="{A071AE72-B1B2-4E64-B8D3-C2F0E2F77EA2}" destId="{E860984A-02EF-402E-AD8C-DB949E478776}" srcOrd="1" destOrd="0" presId="urn:microsoft.com/office/officeart/2009/3/layout/HorizontalOrganizationChart"/>
    <dgm:cxn modelId="{8832F11F-F316-40EB-B6BF-A6FB884EDF32}" srcId="{05489EF5-4EF8-4E81-983B-F7C2C380E9D2}" destId="{8A4FCDD4-0B60-4350-AD4C-79E63B57B153}" srcOrd="0" destOrd="0" parTransId="{35FBC888-8128-46A3-AC1E-049C612C362E}" sibTransId="{8540285C-7035-43ED-A6EC-F8E820E5ACBF}"/>
    <dgm:cxn modelId="{9D3CD820-07C3-411B-813B-03ACAC7E1AFB}" type="presOf" srcId="{05489EF5-4EF8-4E81-983B-F7C2C380E9D2}" destId="{9178B92C-6AFA-4193-8847-677D4E1F40F2}" srcOrd="0" destOrd="0" presId="urn:microsoft.com/office/officeart/2009/3/layout/HorizontalOrganizationChart"/>
    <dgm:cxn modelId="{84E74B22-1B4F-4B62-9F2B-27944BC5766B}" type="presOf" srcId="{72C92992-DEF0-47D6-8AF5-C1498EFA6D7E}" destId="{C0254DF8-89A0-46AC-BAD2-6D21ED07F1F3}" srcOrd="1" destOrd="0" presId="urn:microsoft.com/office/officeart/2009/3/layout/HorizontalOrganizationChart"/>
    <dgm:cxn modelId="{A1D11824-92F0-403C-A3C4-57202C5FE224}" srcId="{30F9DA7F-29C9-4CBC-B822-26DB927069D0}" destId="{72C92992-DEF0-47D6-8AF5-C1498EFA6D7E}" srcOrd="0" destOrd="0" parTransId="{E6E7DFE1-A96C-4F9B-8694-57BE41DA0FF1}" sibTransId="{F8AEA340-DCAD-4279-BD75-2614265B39E7}"/>
    <dgm:cxn modelId="{A78D6F26-713E-419A-8607-9151C38ADAB7}" type="presOf" srcId="{C5F60EB1-D8B0-48F3-913B-16EEC0518C89}" destId="{B53C3927-56F8-48E2-B411-924FBAD3EC6D}" srcOrd="1" destOrd="0" presId="urn:microsoft.com/office/officeart/2009/3/layout/HorizontalOrganizationChart"/>
    <dgm:cxn modelId="{87C7C12B-3BED-4A52-9D48-5FDF28C8D452}" type="presOf" srcId="{47C86BAE-61AF-473D-89B1-5986BB82BA77}" destId="{157F73B5-8CEB-4AF3-91F2-982CCF89E460}" srcOrd="1" destOrd="0" presId="urn:microsoft.com/office/officeart/2009/3/layout/HorizontalOrganizationChart"/>
    <dgm:cxn modelId="{8AF2CD2D-6BA9-4257-9708-7CDE09F87862}" type="presOf" srcId="{30F9DA7F-29C9-4CBC-B822-26DB927069D0}" destId="{46783694-5E5E-4C4E-B434-7B0C2F3640A0}" srcOrd="1" destOrd="0" presId="urn:microsoft.com/office/officeart/2009/3/layout/HorizontalOrganizationChart"/>
    <dgm:cxn modelId="{D5EA9E2E-C9C2-47D8-BEF7-61E075E5BB91}" srcId="{BF1F814A-7FA0-43AD-8547-147DCCED3451}" destId="{05489EF5-4EF8-4E81-983B-F7C2C380E9D2}" srcOrd="5" destOrd="0" parTransId="{AC0661A8-FE74-46A2-811F-65AD8E48D2BB}" sibTransId="{7D5017B4-574A-47E4-94AE-EB314C0CDDB6}"/>
    <dgm:cxn modelId="{6A43ED2F-8E99-43A7-8902-E507571E62B4}" srcId="{BF1F814A-7FA0-43AD-8547-147DCCED3451}" destId="{526CCEBD-48A1-4F36-858B-5871FA9919E3}" srcOrd="0" destOrd="0" parTransId="{7C7DA91F-F932-435C-8B01-55A4F83F412C}" sibTransId="{6668E220-3E49-46F3-9C97-E1AF6FE13921}"/>
    <dgm:cxn modelId="{ACF4E430-28EE-4490-AB50-041E3E872F0A}" srcId="{BF1F814A-7FA0-43AD-8547-147DCCED3451}" destId="{D3DB29E8-6611-4385-A180-1D3A31181F36}" srcOrd="2" destOrd="0" parTransId="{8388B56D-0EE7-45A3-A63D-7FDB9D132D04}" sibTransId="{ACD9781C-7506-46D5-8A4E-1604FC1618E6}"/>
    <dgm:cxn modelId="{820FF138-D910-43FC-A0DC-98BD3FA1B029}" type="presOf" srcId="{1BC863A8-D9BE-4BCD-B623-1A88694D0923}" destId="{139F2A1F-0F55-4C4C-A40D-A2D5368DFD34}" srcOrd="0" destOrd="0" presId="urn:microsoft.com/office/officeart/2009/3/layout/HorizontalOrganizationChart"/>
    <dgm:cxn modelId="{4C582A3F-937A-4732-86DB-3B4B9EAB3D7C}" type="presOf" srcId="{ED3CB622-5D31-490A-9C5C-9A9051074767}" destId="{A0CC99F8-E6C9-43AA-A2F6-13D4B1587A64}" srcOrd="0" destOrd="0" presId="urn:microsoft.com/office/officeart/2009/3/layout/HorizontalOrganizationChart"/>
    <dgm:cxn modelId="{F2FF2A3F-48A3-49B2-80FC-E5E4A5ECEAC2}" srcId="{BF1F814A-7FA0-43AD-8547-147DCCED3451}" destId="{ED3CB622-5D31-490A-9C5C-9A9051074767}" srcOrd="1" destOrd="0" parTransId="{2FFF7B0A-E21D-4E64-B400-906FE9295A0D}" sibTransId="{40833245-CC77-44C8-8BEB-E7CA7DDBB2AB}"/>
    <dgm:cxn modelId="{4200875C-1E90-40C8-87ED-09A2344C1B5F}" type="presOf" srcId="{7EAF1C86-2BC3-4F1A-B0DE-A29F69265385}" destId="{0110F9E9-B0F7-4F6F-92E5-EC9B5CABD939}" srcOrd="0" destOrd="0" presId="urn:microsoft.com/office/officeart/2009/3/layout/HorizontalOrganizationChart"/>
    <dgm:cxn modelId="{C371D65D-C310-4E65-89FA-4F4BA10EAB9D}" srcId="{B53AEA62-6C73-48C8-82EE-CDDA80667045}" destId="{47C86BAE-61AF-473D-89B1-5986BB82BA77}" srcOrd="0" destOrd="0" parTransId="{066F3898-A967-49BE-8BCC-1C90CA52F7EB}" sibTransId="{A6FE9315-D787-418F-8F04-7DE166A944AA}"/>
    <dgm:cxn modelId="{2D7F1D5F-F9CC-4E63-BF4A-644743229193}" type="presOf" srcId="{4472ADD0-380B-43CD-8B42-5C7728DDC03F}" destId="{1B7D61B0-9824-45F4-838A-91FFCC35EE68}" srcOrd="0" destOrd="0" presId="urn:microsoft.com/office/officeart/2009/3/layout/HorizontalOrganizationChart"/>
    <dgm:cxn modelId="{9936E361-E350-421D-A82D-B46925077659}" type="presOf" srcId="{F10C67EF-C0F2-4E7E-ABF3-EEEAD529E739}" destId="{58FDAC32-ACF8-42A0-A197-E780A814C469}" srcOrd="0" destOrd="0" presId="urn:microsoft.com/office/officeart/2009/3/layout/HorizontalOrganizationChart"/>
    <dgm:cxn modelId="{25284C43-78C5-4A9B-936B-FD743E0EA6D8}" type="presOf" srcId="{30F9DA7F-29C9-4CBC-B822-26DB927069D0}" destId="{9D4785E7-A4DF-4B6D-861F-6F3BD81A9EA0}" srcOrd="0" destOrd="0" presId="urn:microsoft.com/office/officeart/2009/3/layout/HorizontalOrganizationChart"/>
    <dgm:cxn modelId="{0B005464-FFE0-4AC1-AB33-D475D31615DB}" type="presOf" srcId="{4CF435E2-8F78-4E30-AC31-027DF32A88C2}" destId="{076400E9-A028-4318-B704-27110BB09CBB}" srcOrd="0" destOrd="0" presId="urn:microsoft.com/office/officeart/2009/3/layout/HorizontalOrganizationChart"/>
    <dgm:cxn modelId="{8379E266-6735-4241-8F8A-4012D87C1125}" type="presOf" srcId="{30265373-21CA-4E23-AAA9-330B3C0AD35D}" destId="{63ED3889-D319-40ED-87B6-C88A0ACD683F}" srcOrd="0" destOrd="0" presId="urn:microsoft.com/office/officeart/2009/3/layout/HorizontalOrganizationChart"/>
    <dgm:cxn modelId="{6A590C47-EAF4-4905-945B-B633FDAF23F5}" type="presOf" srcId="{B26163C0-9CC2-445F-AA37-CC86040D6739}" destId="{8CD78A00-3A32-4012-91BE-7C99203585CC}" srcOrd="0" destOrd="0" presId="urn:microsoft.com/office/officeart/2009/3/layout/HorizontalOrganizationChart"/>
    <dgm:cxn modelId="{B1B80D48-C822-41E9-89B4-F78B1DFAA973}" type="presOf" srcId="{B53AEA62-6C73-48C8-82EE-CDDA80667045}" destId="{7ADA1382-BEAE-45C5-B4A8-C523ADEC838A}" srcOrd="0" destOrd="0" presId="urn:microsoft.com/office/officeart/2009/3/layout/HorizontalOrganizationChart"/>
    <dgm:cxn modelId="{8AF52849-3C02-4818-B4BB-34303E2A2D72}" type="presOf" srcId="{7436E5D8-88D4-4300-B59D-50CF4EDE0855}" destId="{91CE1C98-B2FC-4AB0-8DB8-3A6370C73977}" srcOrd="0" destOrd="0" presId="urn:microsoft.com/office/officeart/2009/3/layout/HorizontalOrganizationChart"/>
    <dgm:cxn modelId="{F3DE556B-EE66-4C2F-80AC-6B804CA07D4B}" srcId="{ED3CB622-5D31-490A-9C5C-9A9051074767}" destId="{C5F60EB1-D8B0-48F3-913B-16EEC0518C89}" srcOrd="0" destOrd="0" parTransId="{EB9F22E7-5660-4047-ABFA-7F3BDF4424C6}" sibTransId="{EF8C7743-0253-4108-B71B-188A96342143}"/>
    <dgm:cxn modelId="{D603594B-C39D-4766-8C05-44ECCAA1401F}" srcId="{41B0B44A-42D9-4D65-93D6-DFA550C052FC}" destId="{C78C91FD-EA15-430B-A4D0-8924163C8EA5}" srcOrd="0" destOrd="0" parTransId="{B26163C0-9CC2-445F-AA37-CC86040D6739}" sibTransId="{E808D7C5-4DAA-47CE-998C-725E23D2512F}"/>
    <dgm:cxn modelId="{829D1D70-D0D5-49F9-8F3A-26FF1AAE020E}" type="presOf" srcId="{F3C835C6-00DE-4EFD-8D0C-6FEB2760FEE5}" destId="{B66C4C47-71D3-4064-B0BE-4378C243DADC}" srcOrd="0" destOrd="0" presId="urn:microsoft.com/office/officeart/2009/3/layout/HorizontalOrganizationChart"/>
    <dgm:cxn modelId="{808CA870-37A2-4C3B-B027-0B5F1529CBCB}" type="presOf" srcId="{48DDAB86-5F5B-4A9A-AB3A-645564CBBD01}" destId="{DF37580D-1A38-4EAF-A5F6-4B1F83CAA5F6}" srcOrd="0" destOrd="0" presId="urn:microsoft.com/office/officeart/2009/3/layout/HorizontalOrganizationChart"/>
    <dgm:cxn modelId="{CA287871-C4CB-4EEB-A45B-BFA34F02A17E}" type="presOf" srcId="{3059497E-90A8-483A-92C9-E67678379A0E}" destId="{EC7688FB-3EF9-45DE-BDF7-E7CC5F82B679}" srcOrd="1" destOrd="0" presId="urn:microsoft.com/office/officeart/2009/3/layout/HorizontalOrganizationChart"/>
    <dgm:cxn modelId="{E198BD71-8B5F-469E-BDC7-EC2BA8994822}" type="presOf" srcId="{41B0B44A-42D9-4D65-93D6-DFA550C052FC}" destId="{095D6D73-E373-4643-8CB5-82CA48E871EF}" srcOrd="0" destOrd="0" presId="urn:microsoft.com/office/officeart/2009/3/layout/HorizontalOrganizationChart"/>
    <dgm:cxn modelId="{E2772753-6350-4C71-85DA-ADB8092057EE}" srcId="{BF1F814A-7FA0-43AD-8547-147DCCED3451}" destId="{3059497E-90A8-483A-92C9-E67678379A0E}" srcOrd="4" destOrd="0" parTransId="{818EE03C-485B-4FDE-A11B-DB0D5514A3D6}" sibTransId="{4EB9AA37-F46F-4F28-A7E8-0F1E982FBC02}"/>
    <dgm:cxn modelId="{6502BC53-40E6-4597-95C6-CB0239BA258C}" type="presOf" srcId="{558B973D-B8BB-4013-8978-49F360191EEA}" destId="{84F5B11D-04A5-4EFD-81C3-E7521F102E03}" srcOrd="0" destOrd="0" presId="urn:microsoft.com/office/officeart/2009/3/layout/HorizontalOrganizationChart"/>
    <dgm:cxn modelId="{378A1957-E565-4A0F-9E75-BB420ED5AA53}" type="presOf" srcId="{C58F128A-6347-4C37-95AA-23FC62E923D9}" destId="{68C24859-4868-4FDC-B8F9-8A9E69F57C4E}" srcOrd="1" destOrd="0" presId="urn:microsoft.com/office/officeart/2009/3/layout/HorizontalOrganizationChart"/>
    <dgm:cxn modelId="{E5A08A77-8590-4689-AED9-ED4A0A2861FA}" type="presOf" srcId="{D3DB29E8-6611-4385-A180-1D3A31181F36}" destId="{F0E0CD46-B7F8-46A6-BCE5-387308358B75}" srcOrd="1" destOrd="0" presId="urn:microsoft.com/office/officeart/2009/3/layout/HorizontalOrganizationChart"/>
    <dgm:cxn modelId="{8B61EC57-D42E-4201-931A-B474F210EDA9}" type="presOf" srcId="{A1BCCA10-2FBC-47CC-A724-60FCB1C3CF27}" destId="{ED3D3A1A-ADF9-49B2-BFA7-73D497E57CF8}" srcOrd="1" destOrd="0" presId="urn:microsoft.com/office/officeart/2009/3/layout/HorizontalOrganizationChart"/>
    <dgm:cxn modelId="{72915178-AC22-458C-9667-29B230DC0740}" type="presOf" srcId="{A1BCCA10-2FBC-47CC-A724-60FCB1C3CF27}" destId="{20749DD4-4A4A-4D19-9A9B-29854C8E44E4}" srcOrd="0" destOrd="0" presId="urn:microsoft.com/office/officeart/2009/3/layout/HorizontalOrganizationChart"/>
    <dgm:cxn modelId="{1D93508B-137E-4633-9A1A-E565F093AE41}" type="presOf" srcId="{4CF435E2-8F78-4E30-AC31-027DF32A88C2}" destId="{32996611-A1FB-4B6E-87C6-F17F5DB9497B}" srcOrd="1" destOrd="0" presId="urn:microsoft.com/office/officeart/2009/3/layout/HorizontalOrganizationChart"/>
    <dgm:cxn modelId="{AD97D48D-16B9-4897-A0D9-19CE3862A0DD}" type="presOf" srcId="{BF1F814A-7FA0-43AD-8547-147DCCED3451}" destId="{98E86D6A-11F7-4668-B430-9798FCD5593E}" srcOrd="0" destOrd="0" presId="urn:microsoft.com/office/officeart/2009/3/layout/HorizontalOrganizationChart"/>
    <dgm:cxn modelId="{4D1E028F-B834-4566-B1C6-C8DF8E2CC664}" type="presOf" srcId="{7EAF1C86-2BC3-4F1A-B0DE-A29F69265385}" destId="{BC42D675-2D58-4FBC-8E41-F478CE843D0E}" srcOrd="1" destOrd="0" presId="urn:microsoft.com/office/officeart/2009/3/layout/HorizontalOrganizationChart"/>
    <dgm:cxn modelId="{11B21794-2176-45C3-8477-FCC8BCABEFBB}" type="presOf" srcId="{B53AEA62-6C73-48C8-82EE-CDDA80667045}" destId="{BD6B0231-C3C9-4801-8CFD-5042328BCFF1}" srcOrd="1" destOrd="0" presId="urn:microsoft.com/office/officeart/2009/3/layout/HorizontalOrganizationChart"/>
    <dgm:cxn modelId="{EC06609A-0506-4047-B6A8-5CDBD776D25A}" type="presOf" srcId="{D3DB29E8-6611-4385-A180-1D3A31181F36}" destId="{36CFD0A9-14DB-4567-B181-7E5808AD39A5}" srcOrd="0" destOrd="0" presId="urn:microsoft.com/office/officeart/2009/3/layout/HorizontalOrganizationChart"/>
    <dgm:cxn modelId="{F861BF9B-2976-4765-93D3-F16D5A9A9D7D}" srcId="{C5F60EB1-D8B0-48F3-913B-16EEC0518C89}" destId="{A1BCCA10-2FBC-47CC-A724-60FCB1C3CF27}" srcOrd="0" destOrd="0" parTransId="{969920DA-4285-4D1D-93A7-6F776EEB74A8}" sibTransId="{BEE31689-3BAF-4F78-960C-720BE87002F8}"/>
    <dgm:cxn modelId="{C9E3049F-CC7B-4ECE-8BF3-7100634A062D}" type="presOf" srcId="{35FBC888-8128-46A3-AC1E-049C612C362E}" destId="{4816103A-4151-471C-8F3F-F760A7B87CFF}" srcOrd="0" destOrd="0" presId="urn:microsoft.com/office/officeart/2009/3/layout/HorizontalOrganizationChart"/>
    <dgm:cxn modelId="{08B2DFA0-E13F-4F69-A7DD-4E41A5AE2045}" type="presOf" srcId="{41B0B44A-42D9-4D65-93D6-DFA550C052FC}" destId="{5DEFDDE9-6698-472F-B686-99B779DBF0C7}" srcOrd="1" destOrd="0" presId="urn:microsoft.com/office/officeart/2009/3/layout/HorizontalOrganizationChart"/>
    <dgm:cxn modelId="{6DB9BFA2-AC28-4840-9C4C-3AF020F83CF4}" srcId="{F10C67EF-C0F2-4E7E-ABF3-EEEAD529E739}" destId="{B53AEA62-6C73-48C8-82EE-CDDA80667045}" srcOrd="0" destOrd="0" parTransId="{6ACEF3A2-A48B-4724-A96E-741894F7C559}" sibTransId="{60D112AA-F284-4E70-BBCF-E2431550DBEB}"/>
    <dgm:cxn modelId="{94562EA7-9C11-468B-BFC9-AEB42ACE85CE}" type="presOf" srcId="{47C86BAE-61AF-473D-89B1-5986BB82BA77}" destId="{EBDDEBCC-44F3-4CDA-AF67-16544B1C099E}" srcOrd="0" destOrd="0" presId="urn:microsoft.com/office/officeart/2009/3/layout/HorizontalOrganizationChart"/>
    <dgm:cxn modelId="{E71B82AA-7CEF-43FD-8696-92C4F91782A0}" type="presOf" srcId="{969920DA-4285-4D1D-93A7-6F776EEB74A8}" destId="{8D45B9E1-83B0-4675-8D52-496E701E5783}" srcOrd="0" destOrd="0" presId="urn:microsoft.com/office/officeart/2009/3/layout/HorizontalOrganizationChart"/>
    <dgm:cxn modelId="{209BADAC-E735-4FAA-B823-1B5CB06EB447}" type="presOf" srcId="{C5F60EB1-D8B0-48F3-913B-16EEC0518C89}" destId="{83ADDF8D-517C-4145-98B7-DF2C6D16474F}" srcOrd="0" destOrd="0" presId="urn:microsoft.com/office/officeart/2009/3/layout/HorizontalOrganizationChart"/>
    <dgm:cxn modelId="{30FF99B3-6BA3-4DAE-86F5-92778E49E974}" type="presOf" srcId="{BFC0845B-AAC3-4915-87EA-CD11B3F77F7D}" destId="{B3863F35-AE90-414B-9719-405A86D68610}" srcOrd="0" destOrd="0" presId="urn:microsoft.com/office/officeart/2009/3/layout/HorizontalOrganizationChart"/>
    <dgm:cxn modelId="{7852ADBA-5532-48BF-AC8D-DA2BB27D0E28}" srcId="{F3C835C6-00DE-4EFD-8D0C-6FEB2760FEE5}" destId="{30F9DA7F-29C9-4CBC-B822-26DB927069D0}" srcOrd="0" destOrd="0" parTransId="{558B973D-B8BB-4013-8978-49F360191EEA}" sibTransId="{4292117B-1C31-492C-BA47-54A1F1BC63AA}"/>
    <dgm:cxn modelId="{74C1E8BC-D5F4-4C30-9172-4C7BCCA8DC30}" type="presOf" srcId="{8A4FCDD4-0B60-4350-AD4C-79E63B57B153}" destId="{124405AB-32CC-4F27-BF53-9E67B7072B47}" srcOrd="0" destOrd="0" presId="urn:microsoft.com/office/officeart/2009/3/layout/HorizontalOrganizationChart"/>
    <dgm:cxn modelId="{DC10D7C0-5C2D-44F1-83EF-F02A0131AF8D}" type="presOf" srcId="{8A4FCDD4-0B60-4350-AD4C-79E63B57B153}" destId="{B71A243A-A59A-4F2C-8483-44542AE7FB7E}" srcOrd="1" destOrd="0" presId="urn:microsoft.com/office/officeart/2009/3/layout/HorizontalOrganizationChart"/>
    <dgm:cxn modelId="{D93045C1-D57C-41B6-947C-88559C87A653}" type="presOf" srcId="{48DDAB86-5F5B-4A9A-AB3A-645564CBBD01}" destId="{4FAC22D5-6E0B-43FF-B4BA-31FBECC7409D}" srcOrd="1" destOrd="0" presId="urn:microsoft.com/office/officeart/2009/3/layout/HorizontalOrganizationChart"/>
    <dgm:cxn modelId="{4C1639C2-8700-4E81-86F7-85C650EBEC9C}" type="presOf" srcId="{526CCEBD-48A1-4F36-858B-5871FA9919E3}" destId="{EDD7C2EE-704F-4E09-B8A8-34F16CC7AF9C}" srcOrd="1" destOrd="0" presId="urn:microsoft.com/office/officeart/2009/3/layout/HorizontalOrganizationChart"/>
    <dgm:cxn modelId="{7B9F9FC3-F5F0-4E6C-864C-A0D9D748BE91}" type="presOf" srcId="{C58F128A-6347-4C37-95AA-23FC62E923D9}" destId="{039B4795-509B-4733-BA6B-1BB217121B0F}" srcOrd="0" destOrd="0" presId="urn:microsoft.com/office/officeart/2009/3/layout/HorizontalOrganizationChart"/>
    <dgm:cxn modelId="{C1C46CCF-A355-4D35-9AD3-26C2C9A8CFBB}" type="presOf" srcId="{066F3898-A967-49BE-8BCC-1C90CA52F7EB}" destId="{22DE68F1-2D09-4833-A326-EB8F13CAD213}" srcOrd="0" destOrd="0" presId="urn:microsoft.com/office/officeart/2009/3/layout/HorizontalOrganizationChart"/>
    <dgm:cxn modelId="{238360D0-838D-45AC-BDDF-EACA07B0D641}" type="presOf" srcId="{F3C835C6-00DE-4EFD-8D0C-6FEB2760FEE5}" destId="{46A17C35-8727-445F-A697-5B16C61D62D6}" srcOrd="1" destOrd="0" presId="urn:microsoft.com/office/officeart/2009/3/layout/HorizontalOrganizationChart"/>
    <dgm:cxn modelId="{E2CBD4D4-40B9-4782-9344-500A26719901}" srcId="{D3DB29E8-6611-4385-A180-1D3A31181F36}" destId="{4CF435E2-8F78-4E30-AC31-027DF32A88C2}" srcOrd="0" destOrd="0" parTransId="{1BC863A8-D9BE-4BCD-B623-1A88694D0923}" sibTransId="{A8C0B5E9-E3F9-4C66-8887-1ED07DDC61C4}"/>
    <dgm:cxn modelId="{71F96DD6-FE92-4E8A-8CEE-63CACAF00FA5}" srcId="{BF1F814A-7FA0-43AD-8547-147DCCED3451}" destId="{F3C835C6-00DE-4EFD-8D0C-6FEB2760FEE5}" srcOrd="6" destOrd="0" parTransId="{B654E10F-66ED-4C2D-9995-8B2B75960200}" sibTransId="{E1B9F224-C148-453D-A16D-8AEE4011772C}"/>
    <dgm:cxn modelId="{D34CE8DD-2A74-4CDA-92A7-A8BFB6E2CF1E}" srcId="{BF1F814A-7FA0-43AD-8547-147DCCED3451}" destId="{F10C67EF-C0F2-4E7E-ABF3-EEEAD529E739}" srcOrd="3" destOrd="0" parTransId="{4F88920B-7215-4A89-9FC2-F4C79548F25B}" sibTransId="{6F65186F-278A-47A6-91D9-4C75844C93DC}"/>
    <dgm:cxn modelId="{D23518E3-30DA-4B81-9774-09A1172F59F0}" srcId="{8A4FCDD4-0B60-4350-AD4C-79E63B57B153}" destId="{7EAF1C86-2BC3-4F1A-B0DE-A29F69265385}" srcOrd="0" destOrd="0" parTransId="{7436E5D8-88D4-4300-B59D-50CF4EDE0855}" sibTransId="{CF1AFF9D-25AE-4E49-858C-3839E0CA2532}"/>
    <dgm:cxn modelId="{206739E5-C4BC-487D-86A7-701DFCB7DAE6}" type="presOf" srcId="{72C92992-DEF0-47D6-8AF5-C1498EFA6D7E}" destId="{7E984667-EE27-4A37-8087-9FC87A70835C}" srcOrd="0" destOrd="0" presId="urn:microsoft.com/office/officeart/2009/3/layout/HorizontalOrganizationChart"/>
    <dgm:cxn modelId="{7762CCE6-B4BB-48D9-9C6B-B4E3C532F119}" type="presOf" srcId="{ED3CB622-5D31-490A-9C5C-9A9051074767}" destId="{0A0358F7-E8DF-4589-A5C9-85D530490769}" srcOrd="1" destOrd="0" presId="urn:microsoft.com/office/officeart/2009/3/layout/HorizontalOrganizationChart"/>
    <dgm:cxn modelId="{60A081EC-E94D-4EC5-B6F5-6764A87E8ADD}" type="presOf" srcId="{EB9F22E7-5660-4047-ABFA-7F3BDF4424C6}" destId="{CC263574-94BF-4F46-AAD8-5CFE0DE977CF}" srcOrd="0" destOrd="0" presId="urn:microsoft.com/office/officeart/2009/3/layout/HorizontalOrganizationChart"/>
    <dgm:cxn modelId="{B01987EC-C4D4-420F-8B04-EC8F2FF8CDCE}" type="presOf" srcId="{05489EF5-4EF8-4E81-983B-F7C2C380E9D2}" destId="{EF079872-6230-40E7-A8D5-256372A2D283}" srcOrd="1" destOrd="0" presId="urn:microsoft.com/office/officeart/2009/3/layout/HorizontalOrganizationChart"/>
    <dgm:cxn modelId="{BF179DEF-6D8D-4BF7-8A85-DBA3409B2F42}" type="presOf" srcId="{6ACEF3A2-A48B-4724-A96E-741894F7C559}" destId="{63933C56-4507-4195-AE89-20AE82CA41A9}" srcOrd="0" destOrd="0" presId="urn:microsoft.com/office/officeart/2009/3/layout/HorizontalOrganizationChart"/>
    <dgm:cxn modelId="{B39F57F4-DB54-414D-9B19-ED8B860E20D7}" srcId="{4CF435E2-8F78-4E30-AC31-027DF32A88C2}" destId="{48DDAB86-5F5B-4A9A-AB3A-645564CBBD01}" srcOrd="0" destOrd="0" parTransId="{30265373-21CA-4E23-AAA9-330B3C0AD35D}" sibTransId="{DEC2CEC2-F820-41C6-A95D-F04544FF6230}"/>
    <dgm:cxn modelId="{66C0D4F8-2B2F-4B7E-8E5F-83360198B284}" type="presOf" srcId="{526CCEBD-48A1-4F36-858B-5871FA9919E3}" destId="{3192A162-E6C2-461A-8C56-46AB3095246F}" srcOrd="0" destOrd="0" presId="urn:microsoft.com/office/officeart/2009/3/layout/HorizontalOrganizationChart"/>
    <dgm:cxn modelId="{6B91EEF9-116C-44A9-93DC-80378618DDC2}" type="presOf" srcId="{F10C67EF-C0F2-4E7E-ABF3-EEEAD529E739}" destId="{72DB245C-DCF3-4671-87F1-FCB1139D1A03}" srcOrd="1" destOrd="0" presId="urn:microsoft.com/office/officeart/2009/3/layout/HorizontalOrganizationChart"/>
    <dgm:cxn modelId="{A8A5FFFA-D130-452B-B6CF-A111D69D27A7}" type="presOf" srcId="{A071AE72-B1B2-4E64-B8D3-C2F0E2F77EA2}" destId="{76409644-1496-4006-B528-873E43855C9C}" srcOrd="0" destOrd="0" presId="urn:microsoft.com/office/officeart/2009/3/layout/HorizontalOrganizationChart"/>
    <dgm:cxn modelId="{0E4E2AFE-9FEF-48F0-829C-33C912B297CF}" type="presOf" srcId="{C78C91FD-EA15-430B-A4D0-8924163C8EA5}" destId="{8A15D603-C56E-41D9-9A09-FB306D326D94}" srcOrd="1" destOrd="0" presId="urn:microsoft.com/office/officeart/2009/3/layout/HorizontalOrganizationChart"/>
    <dgm:cxn modelId="{EA2038ED-9CF2-4210-82EF-F259EC431F86}" type="presParOf" srcId="{98E86D6A-11F7-4668-B430-9798FCD5593E}" destId="{98FD2FD0-9012-4A4A-A3C2-34CFFDFB8031}" srcOrd="0" destOrd="0" presId="urn:microsoft.com/office/officeart/2009/3/layout/HorizontalOrganizationChart"/>
    <dgm:cxn modelId="{4D8DC9F6-35BB-4C2B-ABDF-A118B5DC2B4B}" type="presParOf" srcId="{98FD2FD0-9012-4A4A-A3C2-34CFFDFB8031}" destId="{F5798B43-781B-46E2-935C-923403E90BFA}" srcOrd="0" destOrd="0" presId="urn:microsoft.com/office/officeart/2009/3/layout/HorizontalOrganizationChart"/>
    <dgm:cxn modelId="{EE0B54B6-7478-47A6-B7B9-F952E32BF9EC}" type="presParOf" srcId="{F5798B43-781B-46E2-935C-923403E90BFA}" destId="{3192A162-E6C2-461A-8C56-46AB3095246F}" srcOrd="0" destOrd="0" presId="urn:microsoft.com/office/officeart/2009/3/layout/HorizontalOrganizationChart"/>
    <dgm:cxn modelId="{112364FD-655A-4600-92F7-060A1A505C32}" type="presParOf" srcId="{F5798B43-781B-46E2-935C-923403E90BFA}" destId="{EDD7C2EE-704F-4E09-B8A8-34F16CC7AF9C}" srcOrd="1" destOrd="0" presId="urn:microsoft.com/office/officeart/2009/3/layout/HorizontalOrganizationChart"/>
    <dgm:cxn modelId="{57352EA9-887C-40E5-B5B7-E157943CA32F}" type="presParOf" srcId="{98FD2FD0-9012-4A4A-A3C2-34CFFDFB8031}" destId="{BAA08F7C-826E-4D3B-9BCF-2DD3E02DA243}" srcOrd="1" destOrd="0" presId="urn:microsoft.com/office/officeart/2009/3/layout/HorizontalOrganizationChart"/>
    <dgm:cxn modelId="{00807A9D-0EFA-4BE6-890A-C1D934E9A1D4}" type="presParOf" srcId="{BAA08F7C-826E-4D3B-9BCF-2DD3E02DA243}" destId="{B3863F35-AE90-414B-9719-405A86D68610}" srcOrd="0" destOrd="0" presId="urn:microsoft.com/office/officeart/2009/3/layout/HorizontalOrganizationChart"/>
    <dgm:cxn modelId="{F1D594F8-84E9-4605-816F-81D1FCCFD14D}" type="presParOf" srcId="{BAA08F7C-826E-4D3B-9BCF-2DD3E02DA243}" destId="{896BFC4B-8470-42A7-9CA8-3AF1CF541C69}" srcOrd="1" destOrd="0" presId="urn:microsoft.com/office/officeart/2009/3/layout/HorizontalOrganizationChart"/>
    <dgm:cxn modelId="{9208BF91-BE36-4CDC-A456-9EBED53B3853}" type="presParOf" srcId="{896BFC4B-8470-42A7-9CA8-3AF1CF541C69}" destId="{1C5D291A-7432-4A39-AB21-9C9683B5D0B8}" srcOrd="0" destOrd="0" presId="urn:microsoft.com/office/officeart/2009/3/layout/HorizontalOrganizationChart"/>
    <dgm:cxn modelId="{5AAE31CE-5DC0-49AF-8F28-8BC60F12031F}" type="presParOf" srcId="{1C5D291A-7432-4A39-AB21-9C9683B5D0B8}" destId="{039B4795-509B-4733-BA6B-1BB217121B0F}" srcOrd="0" destOrd="0" presId="urn:microsoft.com/office/officeart/2009/3/layout/HorizontalOrganizationChart"/>
    <dgm:cxn modelId="{3C4EF36A-8464-440D-9D57-CA7435D83448}" type="presParOf" srcId="{1C5D291A-7432-4A39-AB21-9C9683B5D0B8}" destId="{68C24859-4868-4FDC-B8F9-8A9E69F57C4E}" srcOrd="1" destOrd="0" presId="urn:microsoft.com/office/officeart/2009/3/layout/HorizontalOrganizationChart"/>
    <dgm:cxn modelId="{69B177C2-E223-4866-8727-681FD79FC711}" type="presParOf" srcId="{896BFC4B-8470-42A7-9CA8-3AF1CF541C69}" destId="{505CA665-141D-4234-969E-E90639B7AFB4}" srcOrd="1" destOrd="0" presId="urn:microsoft.com/office/officeart/2009/3/layout/HorizontalOrganizationChart"/>
    <dgm:cxn modelId="{EF30CD24-24A9-429D-BF81-1BE77F667AB1}" type="presParOf" srcId="{505CA665-141D-4234-969E-E90639B7AFB4}" destId="{1B7D61B0-9824-45F4-838A-91FFCC35EE68}" srcOrd="0" destOrd="0" presId="urn:microsoft.com/office/officeart/2009/3/layout/HorizontalOrganizationChart"/>
    <dgm:cxn modelId="{FF2200C1-6120-4A2F-B118-C64947FFA438}" type="presParOf" srcId="{505CA665-141D-4234-969E-E90639B7AFB4}" destId="{56FE27F0-BE0C-4E13-86CE-2888360E1D50}" srcOrd="1" destOrd="0" presId="urn:microsoft.com/office/officeart/2009/3/layout/HorizontalOrganizationChart"/>
    <dgm:cxn modelId="{38D700AB-B02A-4410-804E-438DCD6D9AE0}" type="presParOf" srcId="{56FE27F0-BE0C-4E13-86CE-2888360E1D50}" destId="{B149B8C2-4FA5-4076-974A-871D6CAA10C4}" srcOrd="0" destOrd="0" presId="urn:microsoft.com/office/officeart/2009/3/layout/HorizontalOrganizationChart"/>
    <dgm:cxn modelId="{AB53C943-3D1C-4C0A-98DA-40972C4FAF55}" type="presParOf" srcId="{B149B8C2-4FA5-4076-974A-871D6CAA10C4}" destId="{76409644-1496-4006-B528-873E43855C9C}" srcOrd="0" destOrd="0" presId="urn:microsoft.com/office/officeart/2009/3/layout/HorizontalOrganizationChart"/>
    <dgm:cxn modelId="{8B2E2ACA-FB8D-419F-8026-EF20437B5AD5}" type="presParOf" srcId="{B149B8C2-4FA5-4076-974A-871D6CAA10C4}" destId="{E860984A-02EF-402E-AD8C-DB949E478776}" srcOrd="1" destOrd="0" presId="urn:microsoft.com/office/officeart/2009/3/layout/HorizontalOrganizationChart"/>
    <dgm:cxn modelId="{ACCC9B7C-6F6E-4E53-9AA3-929C8108DB78}" type="presParOf" srcId="{56FE27F0-BE0C-4E13-86CE-2888360E1D50}" destId="{BA2176C1-CD90-4132-953E-7C13EE51DA6F}" srcOrd="1" destOrd="0" presId="urn:microsoft.com/office/officeart/2009/3/layout/HorizontalOrganizationChart"/>
    <dgm:cxn modelId="{8B074107-AC03-4F0D-9099-029EA348D567}" type="presParOf" srcId="{56FE27F0-BE0C-4E13-86CE-2888360E1D50}" destId="{69348624-BD86-4FC4-BEF7-BD84CA100020}" srcOrd="2" destOrd="0" presId="urn:microsoft.com/office/officeart/2009/3/layout/HorizontalOrganizationChart"/>
    <dgm:cxn modelId="{1DD267B6-ED08-4152-8EA9-2460E7BE7DB9}" type="presParOf" srcId="{896BFC4B-8470-42A7-9CA8-3AF1CF541C69}" destId="{B53F07D5-56EF-45DA-915A-C580C7E03E72}" srcOrd="2" destOrd="0" presId="urn:microsoft.com/office/officeart/2009/3/layout/HorizontalOrganizationChart"/>
    <dgm:cxn modelId="{DCD08BAE-FF06-4A7F-98A9-543183CD77C4}" type="presParOf" srcId="{98FD2FD0-9012-4A4A-A3C2-34CFFDFB8031}" destId="{E0EB945D-106F-449A-9D99-7F71323634D3}" srcOrd="2" destOrd="0" presId="urn:microsoft.com/office/officeart/2009/3/layout/HorizontalOrganizationChart"/>
    <dgm:cxn modelId="{C75AFF54-6B87-4EF6-9EE0-9DD7144B8B4D}" type="presParOf" srcId="{98E86D6A-11F7-4668-B430-9798FCD5593E}" destId="{E1910AA6-B778-466F-AA1C-CE3F5D26C7E2}" srcOrd="1" destOrd="0" presId="urn:microsoft.com/office/officeart/2009/3/layout/HorizontalOrganizationChart"/>
    <dgm:cxn modelId="{CA3055D0-671C-4F7C-80AA-855BEA1D54BD}" type="presParOf" srcId="{E1910AA6-B778-466F-AA1C-CE3F5D26C7E2}" destId="{D459F923-7516-44A2-891F-11C7BCE28F86}" srcOrd="0" destOrd="0" presId="urn:microsoft.com/office/officeart/2009/3/layout/HorizontalOrganizationChart"/>
    <dgm:cxn modelId="{E47BBC7D-DCCD-4EA6-9D9B-C6A1472D6062}" type="presParOf" srcId="{D459F923-7516-44A2-891F-11C7BCE28F86}" destId="{A0CC99F8-E6C9-43AA-A2F6-13D4B1587A64}" srcOrd="0" destOrd="0" presId="urn:microsoft.com/office/officeart/2009/3/layout/HorizontalOrganizationChart"/>
    <dgm:cxn modelId="{D28EA8B0-724F-4549-93E4-D3FA1562142A}" type="presParOf" srcId="{D459F923-7516-44A2-891F-11C7BCE28F86}" destId="{0A0358F7-E8DF-4589-A5C9-85D530490769}" srcOrd="1" destOrd="0" presId="urn:microsoft.com/office/officeart/2009/3/layout/HorizontalOrganizationChart"/>
    <dgm:cxn modelId="{EBFCB8C9-B547-4BBA-82D7-5AA5A7F9DE69}" type="presParOf" srcId="{E1910AA6-B778-466F-AA1C-CE3F5D26C7E2}" destId="{2611E0E8-942A-4F0C-8046-E78414FBE08D}" srcOrd="1" destOrd="0" presId="urn:microsoft.com/office/officeart/2009/3/layout/HorizontalOrganizationChart"/>
    <dgm:cxn modelId="{D6D8A267-C64B-4FEF-8CAD-A3E7294EDADB}" type="presParOf" srcId="{2611E0E8-942A-4F0C-8046-E78414FBE08D}" destId="{CC263574-94BF-4F46-AAD8-5CFE0DE977CF}" srcOrd="0" destOrd="0" presId="urn:microsoft.com/office/officeart/2009/3/layout/HorizontalOrganizationChart"/>
    <dgm:cxn modelId="{E124436D-277D-42E8-87A1-674EC3D41A4E}" type="presParOf" srcId="{2611E0E8-942A-4F0C-8046-E78414FBE08D}" destId="{A9DB9808-1C40-4C91-9FE4-80984B9AA585}" srcOrd="1" destOrd="0" presId="urn:microsoft.com/office/officeart/2009/3/layout/HorizontalOrganizationChart"/>
    <dgm:cxn modelId="{75865EB9-1BE7-4F9D-A1BE-EABBD9F839CB}" type="presParOf" srcId="{A9DB9808-1C40-4C91-9FE4-80984B9AA585}" destId="{26CD8BAF-6E65-4089-AAB9-B7F7C9225235}" srcOrd="0" destOrd="0" presId="urn:microsoft.com/office/officeart/2009/3/layout/HorizontalOrganizationChart"/>
    <dgm:cxn modelId="{EDFD5E78-340B-410F-9A54-9B7C2E0179C8}" type="presParOf" srcId="{26CD8BAF-6E65-4089-AAB9-B7F7C9225235}" destId="{83ADDF8D-517C-4145-98B7-DF2C6D16474F}" srcOrd="0" destOrd="0" presId="urn:microsoft.com/office/officeart/2009/3/layout/HorizontalOrganizationChart"/>
    <dgm:cxn modelId="{C3EB6B18-F957-4F20-90EF-F75F6660D55A}" type="presParOf" srcId="{26CD8BAF-6E65-4089-AAB9-B7F7C9225235}" destId="{B53C3927-56F8-48E2-B411-924FBAD3EC6D}" srcOrd="1" destOrd="0" presId="urn:microsoft.com/office/officeart/2009/3/layout/HorizontalOrganizationChart"/>
    <dgm:cxn modelId="{B482E2AE-41DB-4B44-8FAA-23F1BE468245}" type="presParOf" srcId="{A9DB9808-1C40-4C91-9FE4-80984B9AA585}" destId="{FF981CC6-10B2-47A4-A91B-355462CF170D}" srcOrd="1" destOrd="0" presId="urn:microsoft.com/office/officeart/2009/3/layout/HorizontalOrganizationChart"/>
    <dgm:cxn modelId="{A0E105C5-449C-43B2-BB64-B7EEBDB54E79}" type="presParOf" srcId="{FF981CC6-10B2-47A4-A91B-355462CF170D}" destId="{8D45B9E1-83B0-4675-8D52-496E701E5783}" srcOrd="0" destOrd="0" presId="urn:microsoft.com/office/officeart/2009/3/layout/HorizontalOrganizationChart"/>
    <dgm:cxn modelId="{89C1B6D2-D3EE-4B4F-AAE1-663208A68000}" type="presParOf" srcId="{FF981CC6-10B2-47A4-A91B-355462CF170D}" destId="{CD65E0DB-C22F-493D-928B-39B1F089B513}" srcOrd="1" destOrd="0" presId="urn:microsoft.com/office/officeart/2009/3/layout/HorizontalOrganizationChart"/>
    <dgm:cxn modelId="{87C48F80-E65A-44EC-B460-27C86BE69ECE}" type="presParOf" srcId="{CD65E0DB-C22F-493D-928B-39B1F089B513}" destId="{9CD8EE8D-3E3C-438D-B75D-240ED02097B5}" srcOrd="0" destOrd="0" presId="urn:microsoft.com/office/officeart/2009/3/layout/HorizontalOrganizationChart"/>
    <dgm:cxn modelId="{1F21414B-8E2A-4A82-8045-3B9E5008A7B9}" type="presParOf" srcId="{9CD8EE8D-3E3C-438D-B75D-240ED02097B5}" destId="{20749DD4-4A4A-4D19-9A9B-29854C8E44E4}" srcOrd="0" destOrd="0" presId="urn:microsoft.com/office/officeart/2009/3/layout/HorizontalOrganizationChart"/>
    <dgm:cxn modelId="{62B9E8A5-E708-4A0E-8693-ECB655BF44C3}" type="presParOf" srcId="{9CD8EE8D-3E3C-438D-B75D-240ED02097B5}" destId="{ED3D3A1A-ADF9-49B2-BFA7-73D497E57CF8}" srcOrd="1" destOrd="0" presId="urn:microsoft.com/office/officeart/2009/3/layout/HorizontalOrganizationChart"/>
    <dgm:cxn modelId="{2719E547-ED02-483C-9A3E-7A5E9671D13E}" type="presParOf" srcId="{CD65E0DB-C22F-493D-928B-39B1F089B513}" destId="{C87F2B01-66A8-4550-BB1D-6F15899495CC}" srcOrd="1" destOrd="0" presId="urn:microsoft.com/office/officeart/2009/3/layout/HorizontalOrganizationChart"/>
    <dgm:cxn modelId="{7FE0AC62-E25C-42D5-A022-374932B72D1B}" type="presParOf" srcId="{CD65E0DB-C22F-493D-928B-39B1F089B513}" destId="{E86EC74E-5CB3-4463-A33F-C260ADEB12D7}" srcOrd="2" destOrd="0" presId="urn:microsoft.com/office/officeart/2009/3/layout/HorizontalOrganizationChart"/>
    <dgm:cxn modelId="{5B92D242-118F-490C-AAE3-06C05668B64E}" type="presParOf" srcId="{A9DB9808-1C40-4C91-9FE4-80984B9AA585}" destId="{24AA061D-6850-4F75-BDFC-3085F9D791DD}" srcOrd="2" destOrd="0" presId="urn:microsoft.com/office/officeart/2009/3/layout/HorizontalOrganizationChart"/>
    <dgm:cxn modelId="{2D8AA1EB-D7AB-4039-9A0B-047140DF7B0B}" type="presParOf" srcId="{E1910AA6-B778-466F-AA1C-CE3F5D26C7E2}" destId="{38E86CBD-35CA-48AE-8986-683187467534}" srcOrd="2" destOrd="0" presId="urn:microsoft.com/office/officeart/2009/3/layout/HorizontalOrganizationChart"/>
    <dgm:cxn modelId="{06A5452B-144B-46BD-9482-8D78933DF6C6}" type="presParOf" srcId="{98E86D6A-11F7-4668-B430-9798FCD5593E}" destId="{1C7FBFD7-65F8-4CBD-B0E0-304EB845D484}" srcOrd="2" destOrd="0" presId="urn:microsoft.com/office/officeart/2009/3/layout/HorizontalOrganizationChart"/>
    <dgm:cxn modelId="{719FB1B3-59FE-4190-8C7F-5A4E88EF7EB6}" type="presParOf" srcId="{1C7FBFD7-65F8-4CBD-B0E0-304EB845D484}" destId="{D1EB5786-F8A8-41A2-9940-9A15F586F773}" srcOrd="0" destOrd="0" presId="urn:microsoft.com/office/officeart/2009/3/layout/HorizontalOrganizationChart"/>
    <dgm:cxn modelId="{A9A5E124-8775-4E2E-B187-7711DA5638D7}" type="presParOf" srcId="{D1EB5786-F8A8-41A2-9940-9A15F586F773}" destId="{36CFD0A9-14DB-4567-B181-7E5808AD39A5}" srcOrd="0" destOrd="0" presId="urn:microsoft.com/office/officeart/2009/3/layout/HorizontalOrganizationChart"/>
    <dgm:cxn modelId="{6B75B020-2757-4033-A286-BB0A2EA755A3}" type="presParOf" srcId="{D1EB5786-F8A8-41A2-9940-9A15F586F773}" destId="{F0E0CD46-B7F8-46A6-BCE5-387308358B75}" srcOrd="1" destOrd="0" presId="urn:microsoft.com/office/officeart/2009/3/layout/HorizontalOrganizationChart"/>
    <dgm:cxn modelId="{6CD32887-EEAB-45B7-AF23-7A6BFF1C06F9}" type="presParOf" srcId="{1C7FBFD7-65F8-4CBD-B0E0-304EB845D484}" destId="{FF1478AF-CF6A-4F0C-94DD-E227D9B5E8B7}" srcOrd="1" destOrd="0" presId="urn:microsoft.com/office/officeart/2009/3/layout/HorizontalOrganizationChart"/>
    <dgm:cxn modelId="{657B0068-324B-4D12-9997-7EB09000B9B4}" type="presParOf" srcId="{FF1478AF-CF6A-4F0C-94DD-E227D9B5E8B7}" destId="{139F2A1F-0F55-4C4C-A40D-A2D5368DFD34}" srcOrd="0" destOrd="0" presId="urn:microsoft.com/office/officeart/2009/3/layout/HorizontalOrganizationChart"/>
    <dgm:cxn modelId="{41B36D01-EAF5-40D3-AEF7-5096AD5208BC}" type="presParOf" srcId="{FF1478AF-CF6A-4F0C-94DD-E227D9B5E8B7}" destId="{B89504A8-512C-4497-A63D-401D40D6DF42}" srcOrd="1" destOrd="0" presId="urn:microsoft.com/office/officeart/2009/3/layout/HorizontalOrganizationChart"/>
    <dgm:cxn modelId="{7532F843-374D-452B-A3BE-57F42BCE4CC0}" type="presParOf" srcId="{B89504A8-512C-4497-A63D-401D40D6DF42}" destId="{B4DC4987-3EF4-4B61-9998-6703C30FA255}" srcOrd="0" destOrd="0" presId="urn:microsoft.com/office/officeart/2009/3/layout/HorizontalOrganizationChart"/>
    <dgm:cxn modelId="{A5B58CF9-0B6F-48D6-8001-9E50C4537C09}" type="presParOf" srcId="{B4DC4987-3EF4-4B61-9998-6703C30FA255}" destId="{076400E9-A028-4318-B704-27110BB09CBB}" srcOrd="0" destOrd="0" presId="urn:microsoft.com/office/officeart/2009/3/layout/HorizontalOrganizationChart"/>
    <dgm:cxn modelId="{8E37C2C1-9C76-4010-92F6-495C77660D39}" type="presParOf" srcId="{B4DC4987-3EF4-4B61-9998-6703C30FA255}" destId="{32996611-A1FB-4B6E-87C6-F17F5DB9497B}" srcOrd="1" destOrd="0" presId="urn:microsoft.com/office/officeart/2009/3/layout/HorizontalOrganizationChart"/>
    <dgm:cxn modelId="{84ACB643-D206-4DD6-A2AF-3F6EC20B492C}" type="presParOf" srcId="{B89504A8-512C-4497-A63D-401D40D6DF42}" destId="{3A124C67-6139-446D-B6E4-BB8750572F67}" srcOrd="1" destOrd="0" presId="urn:microsoft.com/office/officeart/2009/3/layout/HorizontalOrganizationChart"/>
    <dgm:cxn modelId="{3A75921A-DEC2-4386-A32A-6B887A88A625}" type="presParOf" srcId="{3A124C67-6139-446D-B6E4-BB8750572F67}" destId="{63ED3889-D319-40ED-87B6-C88A0ACD683F}" srcOrd="0" destOrd="0" presId="urn:microsoft.com/office/officeart/2009/3/layout/HorizontalOrganizationChart"/>
    <dgm:cxn modelId="{37E8FE00-E8FD-4BED-9F3F-A73875C3E123}" type="presParOf" srcId="{3A124C67-6139-446D-B6E4-BB8750572F67}" destId="{775BC0F6-CEC8-4652-99C7-7D46BDE46660}" srcOrd="1" destOrd="0" presId="urn:microsoft.com/office/officeart/2009/3/layout/HorizontalOrganizationChart"/>
    <dgm:cxn modelId="{28DD9A75-15C4-4045-BB2A-50415BBB13E8}" type="presParOf" srcId="{775BC0F6-CEC8-4652-99C7-7D46BDE46660}" destId="{93F0EC5F-8D91-41A9-B614-6A80DAD14B42}" srcOrd="0" destOrd="0" presId="urn:microsoft.com/office/officeart/2009/3/layout/HorizontalOrganizationChart"/>
    <dgm:cxn modelId="{25890A9A-D03C-4956-AA0F-BAAD2A61CB00}" type="presParOf" srcId="{93F0EC5F-8D91-41A9-B614-6A80DAD14B42}" destId="{DF37580D-1A38-4EAF-A5F6-4B1F83CAA5F6}" srcOrd="0" destOrd="0" presId="urn:microsoft.com/office/officeart/2009/3/layout/HorizontalOrganizationChart"/>
    <dgm:cxn modelId="{FA5E25E9-9026-4CEB-B1B1-D5E1E6EFB997}" type="presParOf" srcId="{93F0EC5F-8D91-41A9-B614-6A80DAD14B42}" destId="{4FAC22D5-6E0B-43FF-B4BA-31FBECC7409D}" srcOrd="1" destOrd="0" presId="urn:microsoft.com/office/officeart/2009/3/layout/HorizontalOrganizationChart"/>
    <dgm:cxn modelId="{A9E0205D-61BF-4207-918C-99A23930CA0E}" type="presParOf" srcId="{775BC0F6-CEC8-4652-99C7-7D46BDE46660}" destId="{495D5DC7-9F39-4653-893D-80491F1D97FC}" srcOrd="1" destOrd="0" presId="urn:microsoft.com/office/officeart/2009/3/layout/HorizontalOrganizationChart"/>
    <dgm:cxn modelId="{A253AB6F-E534-40F6-8B09-9436F9160CCA}" type="presParOf" srcId="{775BC0F6-CEC8-4652-99C7-7D46BDE46660}" destId="{2410674B-0AF2-47F7-A896-B88C9A56CE93}" srcOrd="2" destOrd="0" presId="urn:microsoft.com/office/officeart/2009/3/layout/HorizontalOrganizationChart"/>
    <dgm:cxn modelId="{3A8DF46A-519F-4173-9218-584298C5A138}" type="presParOf" srcId="{B89504A8-512C-4497-A63D-401D40D6DF42}" destId="{ADCA8894-73CF-454E-A39C-62403A83F09D}" srcOrd="2" destOrd="0" presId="urn:microsoft.com/office/officeart/2009/3/layout/HorizontalOrganizationChart"/>
    <dgm:cxn modelId="{82C1D3AA-F450-4316-B40C-87C9335A4F37}" type="presParOf" srcId="{1C7FBFD7-65F8-4CBD-B0E0-304EB845D484}" destId="{F4BFC6E4-0BC2-4CB8-90A7-DBE4DE68FDE1}" srcOrd="2" destOrd="0" presId="urn:microsoft.com/office/officeart/2009/3/layout/HorizontalOrganizationChart"/>
    <dgm:cxn modelId="{C5BC79A3-7F69-4A32-AC34-F2D072D06D95}" type="presParOf" srcId="{98E86D6A-11F7-4668-B430-9798FCD5593E}" destId="{91F3C5D7-5A1B-4474-8602-CB3B4955C3D1}" srcOrd="3" destOrd="0" presId="urn:microsoft.com/office/officeart/2009/3/layout/HorizontalOrganizationChart"/>
    <dgm:cxn modelId="{EED1D8BA-0D0F-4452-B063-ACB36DBBA6D0}" type="presParOf" srcId="{91F3C5D7-5A1B-4474-8602-CB3B4955C3D1}" destId="{71051760-D614-48B4-B34A-570ABF591C20}" srcOrd="0" destOrd="0" presId="urn:microsoft.com/office/officeart/2009/3/layout/HorizontalOrganizationChart"/>
    <dgm:cxn modelId="{6535A9C7-DFF4-4830-8D2C-0743F5B2CA92}" type="presParOf" srcId="{71051760-D614-48B4-B34A-570ABF591C20}" destId="{58FDAC32-ACF8-42A0-A197-E780A814C469}" srcOrd="0" destOrd="0" presId="urn:microsoft.com/office/officeart/2009/3/layout/HorizontalOrganizationChart"/>
    <dgm:cxn modelId="{EC4157D5-F854-4E39-AF3D-11EC9ED36176}" type="presParOf" srcId="{71051760-D614-48B4-B34A-570ABF591C20}" destId="{72DB245C-DCF3-4671-87F1-FCB1139D1A03}" srcOrd="1" destOrd="0" presId="urn:microsoft.com/office/officeart/2009/3/layout/HorizontalOrganizationChart"/>
    <dgm:cxn modelId="{C3F736E1-1CA5-43D5-B354-EE3C2D18710C}" type="presParOf" srcId="{91F3C5D7-5A1B-4474-8602-CB3B4955C3D1}" destId="{4F3BCC4A-665C-4830-8979-001AF1810DD3}" srcOrd="1" destOrd="0" presId="urn:microsoft.com/office/officeart/2009/3/layout/HorizontalOrganizationChart"/>
    <dgm:cxn modelId="{459C6875-E50A-4173-B7F3-ADD84224C37D}" type="presParOf" srcId="{4F3BCC4A-665C-4830-8979-001AF1810DD3}" destId="{63933C56-4507-4195-AE89-20AE82CA41A9}" srcOrd="0" destOrd="0" presId="urn:microsoft.com/office/officeart/2009/3/layout/HorizontalOrganizationChart"/>
    <dgm:cxn modelId="{3FFD6323-7C43-4AF9-9AFA-2CE182DB4C2C}" type="presParOf" srcId="{4F3BCC4A-665C-4830-8979-001AF1810DD3}" destId="{B2BFA503-1F95-4D05-AC2E-2AEB455765F5}" srcOrd="1" destOrd="0" presId="urn:microsoft.com/office/officeart/2009/3/layout/HorizontalOrganizationChart"/>
    <dgm:cxn modelId="{FF57CC7A-187A-46C9-B547-56D74F2B6FED}" type="presParOf" srcId="{B2BFA503-1F95-4D05-AC2E-2AEB455765F5}" destId="{99809462-0F12-4AA9-9CB8-07C39696873F}" srcOrd="0" destOrd="0" presId="urn:microsoft.com/office/officeart/2009/3/layout/HorizontalOrganizationChart"/>
    <dgm:cxn modelId="{B9591BBF-5653-4953-8855-310A5471FA92}" type="presParOf" srcId="{99809462-0F12-4AA9-9CB8-07C39696873F}" destId="{7ADA1382-BEAE-45C5-B4A8-C523ADEC838A}" srcOrd="0" destOrd="0" presId="urn:microsoft.com/office/officeart/2009/3/layout/HorizontalOrganizationChart"/>
    <dgm:cxn modelId="{323D810A-5C89-44A1-9D94-5E23B4568736}" type="presParOf" srcId="{99809462-0F12-4AA9-9CB8-07C39696873F}" destId="{BD6B0231-C3C9-4801-8CFD-5042328BCFF1}" srcOrd="1" destOrd="0" presId="urn:microsoft.com/office/officeart/2009/3/layout/HorizontalOrganizationChart"/>
    <dgm:cxn modelId="{C86BC5C4-6B93-48B5-A316-68745BBEC832}" type="presParOf" srcId="{B2BFA503-1F95-4D05-AC2E-2AEB455765F5}" destId="{A5A87D65-2CD7-4B2C-A397-3C43951ACB9F}" srcOrd="1" destOrd="0" presId="urn:microsoft.com/office/officeart/2009/3/layout/HorizontalOrganizationChart"/>
    <dgm:cxn modelId="{B28B641D-D7A7-4DA6-8C18-1CCB4EC6BAE1}" type="presParOf" srcId="{A5A87D65-2CD7-4B2C-A397-3C43951ACB9F}" destId="{22DE68F1-2D09-4833-A326-EB8F13CAD213}" srcOrd="0" destOrd="0" presId="urn:microsoft.com/office/officeart/2009/3/layout/HorizontalOrganizationChart"/>
    <dgm:cxn modelId="{2951A8C5-968F-45DB-805F-53B59DAA1903}" type="presParOf" srcId="{A5A87D65-2CD7-4B2C-A397-3C43951ACB9F}" destId="{D946B342-7798-4456-97B0-7CBD35AC42C5}" srcOrd="1" destOrd="0" presId="urn:microsoft.com/office/officeart/2009/3/layout/HorizontalOrganizationChart"/>
    <dgm:cxn modelId="{F469F09B-D0B6-4C76-BFA8-0404773E07C8}" type="presParOf" srcId="{D946B342-7798-4456-97B0-7CBD35AC42C5}" destId="{496B5F50-466A-41B9-A145-0ACD84F02F0B}" srcOrd="0" destOrd="0" presId="urn:microsoft.com/office/officeart/2009/3/layout/HorizontalOrganizationChart"/>
    <dgm:cxn modelId="{A480B154-1700-4C6F-BE2B-84AFCFDE9468}" type="presParOf" srcId="{496B5F50-466A-41B9-A145-0ACD84F02F0B}" destId="{EBDDEBCC-44F3-4CDA-AF67-16544B1C099E}" srcOrd="0" destOrd="0" presId="urn:microsoft.com/office/officeart/2009/3/layout/HorizontalOrganizationChart"/>
    <dgm:cxn modelId="{D3D3FAD7-5578-4A22-B09B-0AF9A73795A1}" type="presParOf" srcId="{496B5F50-466A-41B9-A145-0ACD84F02F0B}" destId="{157F73B5-8CEB-4AF3-91F2-982CCF89E460}" srcOrd="1" destOrd="0" presId="urn:microsoft.com/office/officeart/2009/3/layout/HorizontalOrganizationChart"/>
    <dgm:cxn modelId="{BA91A13F-CA9D-4502-BB27-355F7B72ACDF}" type="presParOf" srcId="{D946B342-7798-4456-97B0-7CBD35AC42C5}" destId="{318F1956-90B8-43D0-93E2-45E1D4E4DF41}" srcOrd="1" destOrd="0" presId="urn:microsoft.com/office/officeart/2009/3/layout/HorizontalOrganizationChart"/>
    <dgm:cxn modelId="{F7463266-8D7B-4885-A1AC-F518B33324A3}" type="presParOf" srcId="{D946B342-7798-4456-97B0-7CBD35AC42C5}" destId="{DB9FE353-07FB-4A82-94F6-FB56C3B4CA75}" srcOrd="2" destOrd="0" presId="urn:microsoft.com/office/officeart/2009/3/layout/HorizontalOrganizationChart"/>
    <dgm:cxn modelId="{1A632E91-443D-40D4-83BF-AAACC55CDA97}" type="presParOf" srcId="{B2BFA503-1F95-4D05-AC2E-2AEB455765F5}" destId="{F58469CE-3E76-4078-BD8A-DCE944D9C3B3}" srcOrd="2" destOrd="0" presId="urn:microsoft.com/office/officeart/2009/3/layout/HorizontalOrganizationChart"/>
    <dgm:cxn modelId="{1FA1C21C-2E89-4D25-A869-A6026C626408}" type="presParOf" srcId="{91F3C5D7-5A1B-4474-8602-CB3B4955C3D1}" destId="{AC34C841-1EF2-4770-9119-91B64EC4ACFF}" srcOrd="2" destOrd="0" presId="urn:microsoft.com/office/officeart/2009/3/layout/HorizontalOrganizationChart"/>
    <dgm:cxn modelId="{5F5331D9-D4FE-422D-879D-015241F11297}" type="presParOf" srcId="{98E86D6A-11F7-4668-B430-9798FCD5593E}" destId="{DB0144A4-61A3-4414-8AF0-B1D14A6560C7}" srcOrd="4" destOrd="0" presId="urn:microsoft.com/office/officeart/2009/3/layout/HorizontalOrganizationChart"/>
    <dgm:cxn modelId="{8150C493-B60C-4500-AA57-74B734829585}" type="presParOf" srcId="{DB0144A4-61A3-4414-8AF0-B1D14A6560C7}" destId="{431E1A82-00D6-4584-B7E3-8CEAD8FB766C}" srcOrd="0" destOrd="0" presId="urn:microsoft.com/office/officeart/2009/3/layout/HorizontalOrganizationChart"/>
    <dgm:cxn modelId="{A853BEBD-ADE2-4395-B921-5680E44C7176}" type="presParOf" srcId="{431E1A82-00D6-4584-B7E3-8CEAD8FB766C}" destId="{52BBF350-0B8D-4FA3-B667-131965ECA686}" srcOrd="0" destOrd="0" presId="urn:microsoft.com/office/officeart/2009/3/layout/HorizontalOrganizationChart"/>
    <dgm:cxn modelId="{692703EB-EEC1-4E10-ABA7-464224874479}" type="presParOf" srcId="{431E1A82-00D6-4584-B7E3-8CEAD8FB766C}" destId="{EC7688FB-3EF9-45DE-BDF7-E7CC5F82B679}" srcOrd="1" destOrd="0" presId="urn:microsoft.com/office/officeart/2009/3/layout/HorizontalOrganizationChart"/>
    <dgm:cxn modelId="{0F530B12-0905-4586-A85E-3CB46FD4EF4C}" type="presParOf" srcId="{DB0144A4-61A3-4414-8AF0-B1D14A6560C7}" destId="{78D86D0A-6B2A-444E-80B0-471C261CAED8}" srcOrd="1" destOrd="0" presId="urn:microsoft.com/office/officeart/2009/3/layout/HorizontalOrganizationChart"/>
    <dgm:cxn modelId="{52DAC6CF-5948-486E-B1BE-EEBD4AEEFC8F}" type="presParOf" srcId="{78D86D0A-6B2A-444E-80B0-471C261CAED8}" destId="{2602554B-921B-4A37-9CD3-BE5E97F4D92B}" srcOrd="0" destOrd="0" presId="urn:microsoft.com/office/officeart/2009/3/layout/HorizontalOrganizationChart"/>
    <dgm:cxn modelId="{5809879E-6136-40AB-98EF-210DD3C09068}" type="presParOf" srcId="{78D86D0A-6B2A-444E-80B0-471C261CAED8}" destId="{8E5ABC64-1C36-4001-B8CD-E2E511ED84FE}" srcOrd="1" destOrd="0" presId="urn:microsoft.com/office/officeart/2009/3/layout/HorizontalOrganizationChart"/>
    <dgm:cxn modelId="{39F2AE7A-62C9-4E51-8750-90FD23464194}" type="presParOf" srcId="{8E5ABC64-1C36-4001-B8CD-E2E511ED84FE}" destId="{08794543-2F93-43E8-BD87-5B44CAF5EDD9}" srcOrd="0" destOrd="0" presId="urn:microsoft.com/office/officeart/2009/3/layout/HorizontalOrganizationChart"/>
    <dgm:cxn modelId="{045408DC-DA6E-4B17-840C-5137C5EA8FDF}" type="presParOf" srcId="{08794543-2F93-43E8-BD87-5B44CAF5EDD9}" destId="{095D6D73-E373-4643-8CB5-82CA48E871EF}" srcOrd="0" destOrd="0" presId="urn:microsoft.com/office/officeart/2009/3/layout/HorizontalOrganizationChart"/>
    <dgm:cxn modelId="{16AC2150-CD4B-43E4-822F-9F360E428A38}" type="presParOf" srcId="{08794543-2F93-43E8-BD87-5B44CAF5EDD9}" destId="{5DEFDDE9-6698-472F-B686-99B779DBF0C7}" srcOrd="1" destOrd="0" presId="urn:microsoft.com/office/officeart/2009/3/layout/HorizontalOrganizationChart"/>
    <dgm:cxn modelId="{BB0FAF99-DB14-4133-9B5F-1738D0E4EAD8}" type="presParOf" srcId="{8E5ABC64-1C36-4001-B8CD-E2E511ED84FE}" destId="{FE8E0BF0-DA45-468C-9CEC-EC5497CD65EA}" srcOrd="1" destOrd="0" presId="urn:microsoft.com/office/officeart/2009/3/layout/HorizontalOrganizationChart"/>
    <dgm:cxn modelId="{6487F14D-7CF3-4634-BCBB-1923D1E58720}" type="presParOf" srcId="{FE8E0BF0-DA45-468C-9CEC-EC5497CD65EA}" destId="{8CD78A00-3A32-4012-91BE-7C99203585CC}" srcOrd="0" destOrd="0" presId="urn:microsoft.com/office/officeart/2009/3/layout/HorizontalOrganizationChart"/>
    <dgm:cxn modelId="{911158C0-2551-4CA6-959A-6520D8D00F1A}" type="presParOf" srcId="{FE8E0BF0-DA45-468C-9CEC-EC5497CD65EA}" destId="{78158E8B-505E-4B90-B4AF-34D4A89116F7}" srcOrd="1" destOrd="0" presId="urn:microsoft.com/office/officeart/2009/3/layout/HorizontalOrganizationChart"/>
    <dgm:cxn modelId="{AAE74F1C-C781-4475-89F5-BE6BC204ED47}" type="presParOf" srcId="{78158E8B-505E-4B90-B4AF-34D4A89116F7}" destId="{95234933-29B9-4666-A58D-911B0A613CD1}" srcOrd="0" destOrd="0" presId="urn:microsoft.com/office/officeart/2009/3/layout/HorizontalOrganizationChart"/>
    <dgm:cxn modelId="{3CD88CA2-F84F-45AA-A664-489CCD7B80B1}" type="presParOf" srcId="{95234933-29B9-4666-A58D-911B0A613CD1}" destId="{01DC0402-F288-4F7E-8083-DC5AD36D518A}" srcOrd="0" destOrd="0" presId="urn:microsoft.com/office/officeart/2009/3/layout/HorizontalOrganizationChart"/>
    <dgm:cxn modelId="{3DA5516E-7A5F-4299-AAF4-B334EBE165EC}" type="presParOf" srcId="{95234933-29B9-4666-A58D-911B0A613CD1}" destId="{8A15D603-C56E-41D9-9A09-FB306D326D94}" srcOrd="1" destOrd="0" presId="urn:microsoft.com/office/officeart/2009/3/layout/HorizontalOrganizationChart"/>
    <dgm:cxn modelId="{33C89141-3066-4BB7-AAF2-5D8C4247F279}" type="presParOf" srcId="{78158E8B-505E-4B90-B4AF-34D4A89116F7}" destId="{8A5FD286-6DDD-4EEF-A843-148D67AF4962}" srcOrd="1" destOrd="0" presId="urn:microsoft.com/office/officeart/2009/3/layout/HorizontalOrganizationChart"/>
    <dgm:cxn modelId="{30AC2C5D-710B-44C7-BF0C-1C9C53126122}" type="presParOf" srcId="{78158E8B-505E-4B90-B4AF-34D4A89116F7}" destId="{EC296F56-3EAF-4D8D-8B83-17C7C25D263B}" srcOrd="2" destOrd="0" presId="urn:microsoft.com/office/officeart/2009/3/layout/HorizontalOrganizationChart"/>
    <dgm:cxn modelId="{C9140637-C72D-47E8-A324-F7977DB7CAED}" type="presParOf" srcId="{8E5ABC64-1C36-4001-B8CD-E2E511ED84FE}" destId="{5F000D87-7E10-492A-A9BD-D690618E950A}" srcOrd="2" destOrd="0" presId="urn:microsoft.com/office/officeart/2009/3/layout/HorizontalOrganizationChart"/>
    <dgm:cxn modelId="{7C4981F2-86A4-4B1D-90E7-CD4395BD9082}" type="presParOf" srcId="{DB0144A4-61A3-4414-8AF0-B1D14A6560C7}" destId="{85774A3D-4891-4A38-A41D-1E925BEC4546}" srcOrd="2" destOrd="0" presId="urn:microsoft.com/office/officeart/2009/3/layout/HorizontalOrganizationChart"/>
    <dgm:cxn modelId="{F9426691-FFB3-4EA5-9AE8-B3254A98E037}" type="presParOf" srcId="{98E86D6A-11F7-4668-B430-9798FCD5593E}" destId="{66445BDC-41AC-446B-BDFC-894D668FE937}" srcOrd="5" destOrd="0" presId="urn:microsoft.com/office/officeart/2009/3/layout/HorizontalOrganizationChart"/>
    <dgm:cxn modelId="{B4159ECE-2E92-417E-83E1-355E78F322C1}" type="presParOf" srcId="{66445BDC-41AC-446B-BDFC-894D668FE937}" destId="{A4C2ED9A-506F-4AD6-8ADB-8A82CA2B6A79}" srcOrd="0" destOrd="0" presId="urn:microsoft.com/office/officeart/2009/3/layout/HorizontalOrganizationChart"/>
    <dgm:cxn modelId="{248EF404-7DD1-4BCF-B4E6-3513CC3EF7D5}" type="presParOf" srcId="{A4C2ED9A-506F-4AD6-8ADB-8A82CA2B6A79}" destId="{9178B92C-6AFA-4193-8847-677D4E1F40F2}" srcOrd="0" destOrd="0" presId="urn:microsoft.com/office/officeart/2009/3/layout/HorizontalOrganizationChart"/>
    <dgm:cxn modelId="{2D34833A-ADBB-4478-AF8B-915DB462FD25}" type="presParOf" srcId="{A4C2ED9A-506F-4AD6-8ADB-8A82CA2B6A79}" destId="{EF079872-6230-40E7-A8D5-256372A2D283}" srcOrd="1" destOrd="0" presId="urn:microsoft.com/office/officeart/2009/3/layout/HorizontalOrganizationChart"/>
    <dgm:cxn modelId="{67AF75D3-FD06-48EC-A7C7-5E0FB0246A68}" type="presParOf" srcId="{66445BDC-41AC-446B-BDFC-894D668FE937}" destId="{A855E360-A010-45AA-8D8C-DB8AF3094012}" srcOrd="1" destOrd="0" presId="urn:microsoft.com/office/officeart/2009/3/layout/HorizontalOrganizationChart"/>
    <dgm:cxn modelId="{D88B2A67-3EF1-4FBD-BDB2-7F4A43437534}" type="presParOf" srcId="{A855E360-A010-45AA-8D8C-DB8AF3094012}" destId="{4816103A-4151-471C-8F3F-F760A7B87CFF}" srcOrd="0" destOrd="0" presId="urn:microsoft.com/office/officeart/2009/3/layout/HorizontalOrganizationChart"/>
    <dgm:cxn modelId="{9603A791-7E0A-4D0A-AE7A-7D41757EF582}" type="presParOf" srcId="{A855E360-A010-45AA-8D8C-DB8AF3094012}" destId="{CCF02E06-0C4A-436C-9434-B0D16319AF83}" srcOrd="1" destOrd="0" presId="urn:microsoft.com/office/officeart/2009/3/layout/HorizontalOrganizationChart"/>
    <dgm:cxn modelId="{0E82B9A1-EC19-4E1F-AFFD-A7FC5DA83272}" type="presParOf" srcId="{CCF02E06-0C4A-436C-9434-B0D16319AF83}" destId="{993478ED-D029-43E2-88AF-24DF3F185E05}" srcOrd="0" destOrd="0" presId="urn:microsoft.com/office/officeart/2009/3/layout/HorizontalOrganizationChart"/>
    <dgm:cxn modelId="{36A20EC6-474B-426C-A46D-567F7A5968DB}" type="presParOf" srcId="{993478ED-D029-43E2-88AF-24DF3F185E05}" destId="{124405AB-32CC-4F27-BF53-9E67B7072B47}" srcOrd="0" destOrd="0" presId="urn:microsoft.com/office/officeart/2009/3/layout/HorizontalOrganizationChart"/>
    <dgm:cxn modelId="{FA2C915B-8CCD-4B18-B57E-74B773B94C25}" type="presParOf" srcId="{993478ED-D029-43E2-88AF-24DF3F185E05}" destId="{B71A243A-A59A-4F2C-8483-44542AE7FB7E}" srcOrd="1" destOrd="0" presId="urn:microsoft.com/office/officeart/2009/3/layout/HorizontalOrganizationChart"/>
    <dgm:cxn modelId="{4EC1CDA4-5264-437F-9515-3BCC9FA58758}" type="presParOf" srcId="{CCF02E06-0C4A-436C-9434-B0D16319AF83}" destId="{96ACD5DB-795D-4CFA-9357-BA34C791F934}" srcOrd="1" destOrd="0" presId="urn:microsoft.com/office/officeart/2009/3/layout/HorizontalOrganizationChart"/>
    <dgm:cxn modelId="{66C8EE45-70DF-40B2-9BA4-7F5F7CD257D1}" type="presParOf" srcId="{96ACD5DB-795D-4CFA-9357-BA34C791F934}" destId="{91CE1C98-B2FC-4AB0-8DB8-3A6370C73977}" srcOrd="0" destOrd="0" presId="urn:microsoft.com/office/officeart/2009/3/layout/HorizontalOrganizationChart"/>
    <dgm:cxn modelId="{A34346D4-F6CC-4A6A-92EA-1C5F8821EC48}" type="presParOf" srcId="{96ACD5DB-795D-4CFA-9357-BA34C791F934}" destId="{243F1779-CADB-47A2-BA0C-284D79C6EE29}" srcOrd="1" destOrd="0" presId="urn:microsoft.com/office/officeart/2009/3/layout/HorizontalOrganizationChart"/>
    <dgm:cxn modelId="{272943D5-40C8-4C18-8207-EF2786597ED4}" type="presParOf" srcId="{243F1779-CADB-47A2-BA0C-284D79C6EE29}" destId="{B4BECE22-45DB-4445-B6D7-0F0122002BFA}" srcOrd="0" destOrd="0" presId="urn:microsoft.com/office/officeart/2009/3/layout/HorizontalOrganizationChart"/>
    <dgm:cxn modelId="{B26510B6-3456-440E-A227-64EDBB11FF21}" type="presParOf" srcId="{B4BECE22-45DB-4445-B6D7-0F0122002BFA}" destId="{0110F9E9-B0F7-4F6F-92E5-EC9B5CABD939}" srcOrd="0" destOrd="0" presId="urn:microsoft.com/office/officeart/2009/3/layout/HorizontalOrganizationChart"/>
    <dgm:cxn modelId="{1B8C8A8F-A4DB-4047-9E85-7EFB1BB95FD0}" type="presParOf" srcId="{B4BECE22-45DB-4445-B6D7-0F0122002BFA}" destId="{BC42D675-2D58-4FBC-8E41-F478CE843D0E}" srcOrd="1" destOrd="0" presId="urn:microsoft.com/office/officeart/2009/3/layout/HorizontalOrganizationChart"/>
    <dgm:cxn modelId="{7A49A4BA-5A07-488D-8DDE-AB61F4C06E4E}" type="presParOf" srcId="{243F1779-CADB-47A2-BA0C-284D79C6EE29}" destId="{DFE017C5-D0DA-4D08-9413-221FF9047FBB}" srcOrd="1" destOrd="0" presId="urn:microsoft.com/office/officeart/2009/3/layout/HorizontalOrganizationChart"/>
    <dgm:cxn modelId="{835E5762-420E-40C8-9198-5515825084C9}" type="presParOf" srcId="{243F1779-CADB-47A2-BA0C-284D79C6EE29}" destId="{045A1865-C309-4038-A078-228E37FBBC3F}" srcOrd="2" destOrd="0" presId="urn:microsoft.com/office/officeart/2009/3/layout/HorizontalOrganizationChart"/>
    <dgm:cxn modelId="{DEE3F130-AD06-491E-9425-5AF881005986}" type="presParOf" srcId="{CCF02E06-0C4A-436C-9434-B0D16319AF83}" destId="{9D6B01BB-F344-49A1-979A-EA28F76C8128}" srcOrd="2" destOrd="0" presId="urn:microsoft.com/office/officeart/2009/3/layout/HorizontalOrganizationChart"/>
    <dgm:cxn modelId="{F6E721CD-74BD-4533-A150-9E6101519A82}" type="presParOf" srcId="{66445BDC-41AC-446B-BDFC-894D668FE937}" destId="{8843631E-75DD-4D38-A66A-81B709B2B59D}" srcOrd="2" destOrd="0" presId="urn:microsoft.com/office/officeart/2009/3/layout/HorizontalOrganizationChart"/>
    <dgm:cxn modelId="{B5542EFA-F470-4A29-8AB2-44821CE486BA}" type="presParOf" srcId="{98E86D6A-11F7-4668-B430-9798FCD5593E}" destId="{0F959D71-ADE8-4EF7-A8FB-4DA669A4B2F3}" srcOrd="6" destOrd="0" presId="urn:microsoft.com/office/officeart/2009/3/layout/HorizontalOrganizationChart"/>
    <dgm:cxn modelId="{E00D488A-355A-4CE3-B337-43155DC6E44A}" type="presParOf" srcId="{0F959D71-ADE8-4EF7-A8FB-4DA669A4B2F3}" destId="{DF0CDD44-81CA-43D5-9320-6EACA1AC0BF3}" srcOrd="0" destOrd="0" presId="urn:microsoft.com/office/officeart/2009/3/layout/HorizontalOrganizationChart"/>
    <dgm:cxn modelId="{D6311EC9-9889-4DDD-BB1D-082A0FE9A8D5}" type="presParOf" srcId="{DF0CDD44-81CA-43D5-9320-6EACA1AC0BF3}" destId="{B66C4C47-71D3-4064-B0BE-4378C243DADC}" srcOrd="0" destOrd="0" presId="urn:microsoft.com/office/officeart/2009/3/layout/HorizontalOrganizationChart"/>
    <dgm:cxn modelId="{104DE544-7E7C-4657-8323-D341528822A9}" type="presParOf" srcId="{DF0CDD44-81CA-43D5-9320-6EACA1AC0BF3}" destId="{46A17C35-8727-445F-A697-5B16C61D62D6}" srcOrd="1" destOrd="0" presId="urn:microsoft.com/office/officeart/2009/3/layout/HorizontalOrganizationChart"/>
    <dgm:cxn modelId="{010D89A0-5BA5-47D1-BF3C-477C75AB3B02}" type="presParOf" srcId="{0F959D71-ADE8-4EF7-A8FB-4DA669A4B2F3}" destId="{D59612B8-E300-4D5D-B32F-F88969C75752}" srcOrd="1" destOrd="0" presId="urn:microsoft.com/office/officeart/2009/3/layout/HorizontalOrganizationChart"/>
    <dgm:cxn modelId="{70ADF425-8312-4D65-BFD5-A86D484FCE56}" type="presParOf" srcId="{D59612B8-E300-4D5D-B32F-F88969C75752}" destId="{84F5B11D-04A5-4EFD-81C3-E7521F102E03}" srcOrd="0" destOrd="0" presId="urn:microsoft.com/office/officeart/2009/3/layout/HorizontalOrganizationChart"/>
    <dgm:cxn modelId="{7D35FADD-FCF9-4970-9E58-27BD3C5A7E60}" type="presParOf" srcId="{D59612B8-E300-4D5D-B32F-F88969C75752}" destId="{6E2A7416-2C33-49A4-A4CF-45A51F4BBE79}" srcOrd="1" destOrd="0" presId="urn:microsoft.com/office/officeart/2009/3/layout/HorizontalOrganizationChart"/>
    <dgm:cxn modelId="{E586D380-B882-40E5-A770-BF5885DC8935}" type="presParOf" srcId="{6E2A7416-2C33-49A4-A4CF-45A51F4BBE79}" destId="{76353C50-3B10-45EE-BAF0-341A15AF901C}" srcOrd="0" destOrd="0" presId="urn:microsoft.com/office/officeart/2009/3/layout/HorizontalOrganizationChart"/>
    <dgm:cxn modelId="{11B42CA2-7D37-488D-989A-5ECD8190BD35}" type="presParOf" srcId="{76353C50-3B10-45EE-BAF0-341A15AF901C}" destId="{9D4785E7-A4DF-4B6D-861F-6F3BD81A9EA0}" srcOrd="0" destOrd="0" presId="urn:microsoft.com/office/officeart/2009/3/layout/HorizontalOrganizationChart"/>
    <dgm:cxn modelId="{543249BB-D7D4-4108-9659-F7BF0E50EE43}" type="presParOf" srcId="{76353C50-3B10-45EE-BAF0-341A15AF901C}" destId="{46783694-5E5E-4C4E-B434-7B0C2F3640A0}" srcOrd="1" destOrd="0" presId="urn:microsoft.com/office/officeart/2009/3/layout/HorizontalOrganizationChart"/>
    <dgm:cxn modelId="{C72F4FEF-6906-4A31-8DDD-E704DBE12450}" type="presParOf" srcId="{6E2A7416-2C33-49A4-A4CF-45A51F4BBE79}" destId="{C7215037-21D2-4489-AE11-8CC37338ECD8}" srcOrd="1" destOrd="0" presId="urn:microsoft.com/office/officeart/2009/3/layout/HorizontalOrganizationChart"/>
    <dgm:cxn modelId="{6789E565-0944-42FA-AD05-40F631482DD2}" type="presParOf" srcId="{C7215037-21D2-4489-AE11-8CC37338ECD8}" destId="{3129E297-E52C-4CB5-89D4-D726FAFC8F64}" srcOrd="0" destOrd="0" presId="urn:microsoft.com/office/officeart/2009/3/layout/HorizontalOrganizationChart"/>
    <dgm:cxn modelId="{E342E7EA-247A-4F25-9A07-5FF461CF108B}" type="presParOf" srcId="{C7215037-21D2-4489-AE11-8CC37338ECD8}" destId="{CA5D67DD-7032-4A44-8991-90E4F30835C4}" srcOrd="1" destOrd="0" presId="urn:microsoft.com/office/officeart/2009/3/layout/HorizontalOrganizationChart"/>
    <dgm:cxn modelId="{DBA91E82-2758-48C6-8D8F-1A198D7D2A2C}" type="presParOf" srcId="{CA5D67DD-7032-4A44-8991-90E4F30835C4}" destId="{ACD0AC1C-5961-4139-B826-FCAD7B9441F9}" srcOrd="0" destOrd="0" presId="urn:microsoft.com/office/officeart/2009/3/layout/HorizontalOrganizationChart"/>
    <dgm:cxn modelId="{EC810C8B-279B-42B7-8128-4141518D21C4}" type="presParOf" srcId="{ACD0AC1C-5961-4139-B826-FCAD7B9441F9}" destId="{7E984667-EE27-4A37-8087-9FC87A70835C}" srcOrd="0" destOrd="0" presId="urn:microsoft.com/office/officeart/2009/3/layout/HorizontalOrganizationChart"/>
    <dgm:cxn modelId="{4A67374E-17BB-4792-8720-AF439208D496}" type="presParOf" srcId="{ACD0AC1C-5961-4139-B826-FCAD7B9441F9}" destId="{C0254DF8-89A0-46AC-BAD2-6D21ED07F1F3}" srcOrd="1" destOrd="0" presId="urn:microsoft.com/office/officeart/2009/3/layout/HorizontalOrganizationChart"/>
    <dgm:cxn modelId="{4CFDABC6-2BDF-4659-BC7F-97D8C06E5BF6}" type="presParOf" srcId="{CA5D67DD-7032-4A44-8991-90E4F30835C4}" destId="{2098D6F1-DC80-4FA7-9ECF-5EC4C797949D}" srcOrd="1" destOrd="0" presId="urn:microsoft.com/office/officeart/2009/3/layout/HorizontalOrganizationChart"/>
    <dgm:cxn modelId="{33628243-CBBF-41C9-AE0A-24D522EE6A45}" type="presParOf" srcId="{CA5D67DD-7032-4A44-8991-90E4F30835C4}" destId="{CC4EE3AC-5179-4014-A229-289D78DC38CC}" srcOrd="2" destOrd="0" presId="urn:microsoft.com/office/officeart/2009/3/layout/HorizontalOrganizationChart"/>
    <dgm:cxn modelId="{E395B1AA-8C4B-4920-9F9E-8571EEA5535F}" type="presParOf" srcId="{6E2A7416-2C33-49A4-A4CF-45A51F4BBE79}" destId="{62F896F0-5788-4C95-8C2A-768387FE4F3F}" srcOrd="2" destOrd="0" presId="urn:microsoft.com/office/officeart/2009/3/layout/HorizontalOrganizationChart"/>
    <dgm:cxn modelId="{9845C71D-CC84-4A72-B397-D476F59C8040}" type="presParOf" srcId="{0F959D71-ADE8-4EF7-A8FB-4DA669A4B2F3}" destId="{485339E8-F206-4BCB-BDB6-68EAAE2BD67F}"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9E297-E52C-4CB5-89D4-D726FAFC8F64}">
      <dsp:nvSpPr>
        <dsp:cNvPr id="0" name=""/>
        <dsp:cNvSpPr/>
      </dsp:nvSpPr>
      <dsp:spPr>
        <a:xfrm>
          <a:off x="3411866" y="2458017"/>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F5B11D-04A5-4EFD-81C3-E7521F102E03}">
      <dsp:nvSpPr>
        <dsp:cNvPr id="0" name=""/>
        <dsp:cNvSpPr/>
      </dsp:nvSpPr>
      <dsp:spPr>
        <a:xfrm>
          <a:off x="2312799" y="2458017"/>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E1C98-B2FC-4AB0-8DB8-3A6370C73977}">
      <dsp:nvSpPr>
        <dsp:cNvPr id="0" name=""/>
        <dsp:cNvSpPr/>
      </dsp:nvSpPr>
      <dsp:spPr>
        <a:xfrm>
          <a:off x="3411866" y="2064185"/>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6103A-4151-471C-8F3F-F760A7B87CFF}">
      <dsp:nvSpPr>
        <dsp:cNvPr id="0" name=""/>
        <dsp:cNvSpPr/>
      </dsp:nvSpPr>
      <dsp:spPr>
        <a:xfrm>
          <a:off x="2312799" y="2064185"/>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78A00-3A32-4012-91BE-7C99203585CC}">
      <dsp:nvSpPr>
        <dsp:cNvPr id="0" name=""/>
        <dsp:cNvSpPr/>
      </dsp:nvSpPr>
      <dsp:spPr>
        <a:xfrm>
          <a:off x="3411866" y="1670353"/>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02554B-921B-4A37-9CD3-BE5E97F4D92B}">
      <dsp:nvSpPr>
        <dsp:cNvPr id="0" name=""/>
        <dsp:cNvSpPr/>
      </dsp:nvSpPr>
      <dsp:spPr>
        <a:xfrm>
          <a:off x="2312799" y="1670353"/>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DE68F1-2D09-4833-A326-EB8F13CAD213}">
      <dsp:nvSpPr>
        <dsp:cNvPr id="0" name=""/>
        <dsp:cNvSpPr/>
      </dsp:nvSpPr>
      <dsp:spPr>
        <a:xfrm>
          <a:off x="3411866" y="1276521"/>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33C56-4507-4195-AE89-20AE82CA41A9}">
      <dsp:nvSpPr>
        <dsp:cNvPr id="0" name=""/>
        <dsp:cNvSpPr/>
      </dsp:nvSpPr>
      <dsp:spPr>
        <a:xfrm>
          <a:off x="2312799" y="1276521"/>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ED3889-D319-40ED-87B6-C88A0ACD683F}">
      <dsp:nvSpPr>
        <dsp:cNvPr id="0" name=""/>
        <dsp:cNvSpPr/>
      </dsp:nvSpPr>
      <dsp:spPr>
        <a:xfrm>
          <a:off x="3411866" y="882688"/>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9F2A1F-0F55-4C4C-A40D-A2D5368DFD34}">
      <dsp:nvSpPr>
        <dsp:cNvPr id="0" name=""/>
        <dsp:cNvSpPr/>
      </dsp:nvSpPr>
      <dsp:spPr>
        <a:xfrm>
          <a:off x="2312799" y="882688"/>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45B9E1-83B0-4675-8D52-496E701E5783}">
      <dsp:nvSpPr>
        <dsp:cNvPr id="0" name=""/>
        <dsp:cNvSpPr/>
      </dsp:nvSpPr>
      <dsp:spPr>
        <a:xfrm>
          <a:off x="3411866" y="488856"/>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63574-94BF-4F46-AAD8-5CFE0DE977CF}">
      <dsp:nvSpPr>
        <dsp:cNvPr id="0" name=""/>
        <dsp:cNvSpPr/>
      </dsp:nvSpPr>
      <dsp:spPr>
        <a:xfrm>
          <a:off x="2312799" y="488856"/>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7D61B0-9824-45F4-838A-91FFCC35EE68}">
      <dsp:nvSpPr>
        <dsp:cNvPr id="0" name=""/>
        <dsp:cNvSpPr/>
      </dsp:nvSpPr>
      <dsp:spPr>
        <a:xfrm>
          <a:off x="3411866" y="95024"/>
          <a:ext cx="183177" cy="91440"/>
        </a:xfrm>
        <a:custGeom>
          <a:avLst/>
          <a:gdLst/>
          <a:ahLst/>
          <a:cxnLst/>
          <a:rect l="0" t="0" r="0" b="0"/>
          <a:pathLst>
            <a:path>
              <a:moveTo>
                <a:pt x="0" y="45720"/>
              </a:moveTo>
              <a:lnTo>
                <a:pt x="1831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63F35-AE90-414B-9719-405A86D68610}">
      <dsp:nvSpPr>
        <dsp:cNvPr id="0" name=""/>
        <dsp:cNvSpPr/>
      </dsp:nvSpPr>
      <dsp:spPr>
        <a:xfrm>
          <a:off x="2312799" y="95024"/>
          <a:ext cx="183177" cy="91440"/>
        </a:xfrm>
        <a:custGeom>
          <a:avLst/>
          <a:gdLst/>
          <a:ahLst/>
          <a:cxnLst/>
          <a:rect l="0" t="0" r="0" b="0"/>
          <a:pathLst>
            <a:path>
              <a:moveTo>
                <a:pt x="0" y="45720"/>
              </a:moveTo>
              <a:lnTo>
                <a:pt x="18317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92A162-E6C2-461A-8C56-46AB3095246F}">
      <dsp:nvSpPr>
        <dsp:cNvPr id="0" name=""/>
        <dsp:cNvSpPr/>
      </dsp:nvSpPr>
      <dsp:spPr>
        <a:xfrm>
          <a:off x="1396910" y="1071"/>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1. Dochody i deprywacja materialna</a:t>
          </a:r>
        </a:p>
      </dsp:txBody>
      <dsp:txXfrm>
        <a:off x="1396910" y="1071"/>
        <a:ext cx="915888" cy="279346"/>
      </dsp:txXfrm>
    </dsp:sp>
    <dsp:sp modelId="{039B4795-509B-4733-BA6B-1BB217121B0F}">
      <dsp:nvSpPr>
        <dsp:cNvPr id="0" name=""/>
        <dsp:cNvSpPr/>
      </dsp:nvSpPr>
      <dsp:spPr>
        <a:xfrm>
          <a:off x="2495977" y="1071"/>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0,23</a:t>
          </a:r>
        </a:p>
      </dsp:txBody>
      <dsp:txXfrm>
        <a:off x="2495977" y="1071"/>
        <a:ext cx="915888" cy="279346"/>
      </dsp:txXfrm>
    </dsp:sp>
    <dsp:sp modelId="{76409644-1496-4006-B528-873E43855C9C}">
      <dsp:nvSpPr>
        <dsp:cNvPr id="0" name=""/>
        <dsp:cNvSpPr/>
      </dsp:nvSpPr>
      <dsp:spPr>
        <a:xfrm>
          <a:off x="3595044" y="1071"/>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2 wskaźniki</a:t>
          </a:r>
        </a:p>
      </dsp:txBody>
      <dsp:txXfrm>
        <a:off x="3595044" y="1071"/>
        <a:ext cx="915888" cy="279346"/>
      </dsp:txXfrm>
    </dsp:sp>
    <dsp:sp modelId="{A0CC99F8-E6C9-43AA-A2F6-13D4B1587A64}">
      <dsp:nvSpPr>
        <dsp:cNvPr id="0" name=""/>
        <dsp:cNvSpPr/>
      </dsp:nvSpPr>
      <dsp:spPr>
        <a:xfrm>
          <a:off x="1396910" y="394903"/>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2. Rynek pracy</a:t>
          </a:r>
        </a:p>
      </dsp:txBody>
      <dsp:txXfrm>
        <a:off x="1396910" y="394903"/>
        <a:ext cx="915888" cy="279346"/>
      </dsp:txXfrm>
    </dsp:sp>
    <dsp:sp modelId="{83ADDF8D-517C-4145-98B7-DF2C6D16474F}">
      <dsp:nvSpPr>
        <dsp:cNvPr id="0" name=""/>
        <dsp:cNvSpPr/>
      </dsp:nvSpPr>
      <dsp:spPr>
        <a:xfrm>
          <a:off x="2495977" y="394903"/>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0,16</a:t>
          </a:r>
        </a:p>
      </dsp:txBody>
      <dsp:txXfrm>
        <a:off x="2495977" y="394903"/>
        <a:ext cx="915888" cy="279346"/>
      </dsp:txXfrm>
    </dsp:sp>
    <dsp:sp modelId="{20749DD4-4A4A-4D19-9A9B-29854C8E44E4}">
      <dsp:nvSpPr>
        <dsp:cNvPr id="0" name=""/>
        <dsp:cNvSpPr/>
      </dsp:nvSpPr>
      <dsp:spPr>
        <a:xfrm>
          <a:off x="3595044" y="394903"/>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4 wskaźniki</a:t>
          </a:r>
        </a:p>
      </dsp:txBody>
      <dsp:txXfrm>
        <a:off x="3595044" y="394903"/>
        <a:ext cx="915888" cy="279346"/>
      </dsp:txXfrm>
    </dsp:sp>
    <dsp:sp modelId="{36CFD0A9-14DB-4567-B181-7E5808AD39A5}">
      <dsp:nvSpPr>
        <dsp:cNvPr id="0" name=""/>
        <dsp:cNvSpPr/>
      </dsp:nvSpPr>
      <dsp:spPr>
        <a:xfrm>
          <a:off x="1396910" y="788735"/>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dirty="0">
              <a:latin typeface="Times New Roman" panose="02020603050405020304" pitchFamily="18" charset="0"/>
              <a:cs typeface="Times New Roman" panose="02020603050405020304" pitchFamily="18" charset="0"/>
            </a:rPr>
            <a:t>3. Warunki mieszkaniowe</a:t>
          </a:r>
        </a:p>
      </dsp:txBody>
      <dsp:txXfrm>
        <a:off x="1396910" y="788735"/>
        <a:ext cx="915888" cy="279346"/>
      </dsp:txXfrm>
    </dsp:sp>
    <dsp:sp modelId="{076400E9-A028-4318-B704-27110BB09CBB}">
      <dsp:nvSpPr>
        <dsp:cNvPr id="0" name=""/>
        <dsp:cNvSpPr/>
      </dsp:nvSpPr>
      <dsp:spPr>
        <a:xfrm>
          <a:off x="2495977" y="788735"/>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0,10</a:t>
          </a:r>
        </a:p>
      </dsp:txBody>
      <dsp:txXfrm>
        <a:off x="2495977" y="788735"/>
        <a:ext cx="915888" cy="279346"/>
      </dsp:txXfrm>
    </dsp:sp>
    <dsp:sp modelId="{DF37580D-1A38-4EAF-A5F6-4B1F83CAA5F6}">
      <dsp:nvSpPr>
        <dsp:cNvPr id="0" name=""/>
        <dsp:cNvSpPr/>
      </dsp:nvSpPr>
      <dsp:spPr>
        <a:xfrm>
          <a:off x="3595044" y="788735"/>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4 wskaźniki</a:t>
          </a:r>
        </a:p>
      </dsp:txBody>
      <dsp:txXfrm>
        <a:off x="3595044" y="788735"/>
        <a:ext cx="915888" cy="279346"/>
      </dsp:txXfrm>
    </dsp:sp>
    <dsp:sp modelId="{58FDAC32-ACF8-42A0-A197-E780A814C469}">
      <dsp:nvSpPr>
        <dsp:cNvPr id="0" name=""/>
        <dsp:cNvSpPr/>
      </dsp:nvSpPr>
      <dsp:spPr>
        <a:xfrm>
          <a:off x="1396910" y="1182567"/>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4. Zdrowie</a:t>
          </a:r>
        </a:p>
      </dsp:txBody>
      <dsp:txXfrm>
        <a:off x="1396910" y="1182567"/>
        <a:ext cx="915888" cy="279346"/>
      </dsp:txXfrm>
    </dsp:sp>
    <dsp:sp modelId="{7ADA1382-BEAE-45C5-B4A8-C523ADEC838A}">
      <dsp:nvSpPr>
        <dsp:cNvPr id="0" name=""/>
        <dsp:cNvSpPr/>
      </dsp:nvSpPr>
      <dsp:spPr>
        <a:xfrm>
          <a:off x="2495977" y="1182567"/>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0,22</a:t>
          </a:r>
        </a:p>
      </dsp:txBody>
      <dsp:txXfrm>
        <a:off x="2495977" y="1182567"/>
        <a:ext cx="915888" cy="279346"/>
      </dsp:txXfrm>
    </dsp:sp>
    <dsp:sp modelId="{EBDDEBCC-44F3-4CDA-AF67-16544B1C099E}">
      <dsp:nvSpPr>
        <dsp:cNvPr id="0" name=""/>
        <dsp:cNvSpPr/>
      </dsp:nvSpPr>
      <dsp:spPr>
        <a:xfrm>
          <a:off x="3595044" y="1182567"/>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6 wskaźników</a:t>
          </a:r>
        </a:p>
      </dsp:txBody>
      <dsp:txXfrm>
        <a:off x="3595044" y="1182567"/>
        <a:ext cx="915888" cy="279346"/>
      </dsp:txXfrm>
    </dsp:sp>
    <dsp:sp modelId="{52BBF350-0B8D-4FA3-B667-131965ECA686}">
      <dsp:nvSpPr>
        <dsp:cNvPr id="0" name=""/>
        <dsp:cNvSpPr/>
      </dsp:nvSpPr>
      <dsp:spPr>
        <a:xfrm>
          <a:off x="1396910" y="1576400"/>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5. Edukacja</a:t>
          </a:r>
        </a:p>
      </dsp:txBody>
      <dsp:txXfrm>
        <a:off x="1396910" y="1576400"/>
        <a:ext cx="915888" cy="279346"/>
      </dsp:txXfrm>
    </dsp:sp>
    <dsp:sp modelId="{095D6D73-E373-4643-8CB5-82CA48E871EF}">
      <dsp:nvSpPr>
        <dsp:cNvPr id="0" name=""/>
        <dsp:cNvSpPr/>
      </dsp:nvSpPr>
      <dsp:spPr>
        <a:xfrm>
          <a:off x="2495977" y="1576400"/>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0,17</a:t>
          </a:r>
        </a:p>
      </dsp:txBody>
      <dsp:txXfrm>
        <a:off x="2495977" y="1576400"/>
        <a:ext cx="915888" cy="279346"/>
      </dsp:txXfrm>
    </dsp:sp>
    <dsp:sp modelId="{01DC0402-F288-4F7E-8083-DC5AD36D518A}">
      <dsp:nvSpPr>
        <dsp:cNvPr id="0" name=""/>
        <dsp:cNvSpPr/>
      </dsp:nvSpPr>
      <dsp:spPr>
        <a:xfrm>
          <a:off x="3595044" y="1576400"/>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6 wskaźników</a:t>
          </a:r>
        </a:p>
      </dsp:txBody>
      <dsp:txXfrm>
        <a:off x="3595044" y="1576400"/>
        <a:ext cx="915888" cy="279346"/>
      </dsp:txXfrm>
    </dsp:sp>
    <dsp:sp modelId="{9178B92C-6AFA-4193-8847-677D4E1F40F2}">
      <dsp:nvSpPr>
        <dsp:cNvPr id="0" name=""/>
        <dsp:cNvSpPr/>
      </dsp:nvSpPr>
      <dsp:spPr>
        <a:xfrm>
          <a:off x="1396910" y="1970232"/>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6. Trasnport i infrastruktura</a:t>
          </a:r>
        </a:p>
      </dsp:txBody>
      <dsp:txXfrm>
        <a:off x="1396910" y="1970232"/>
        <a:ext cx="915888" cy="279346"/>
      </dsp:txXfrm>
    </dsp:sp>
    <dsp:sp modelId="{124405AB-32CC-4F27-BF53-9E67B7072B47}">
      <dsp:nvSpPr>
        <dsp:cNvPr id="0" name=""/>
        <dsp:cNvSpPr/>
      </dsp:nvSpPr>
      <dsp:spPr>
        <a:xfrm>
          <a:off x="2495977" y="1970232"/>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0,06</a:t>
          </a:r>
        </a:p>
      </dsp:txBody>
      <dsp:txXfrm>
        <a:off x="2495977" y="1970232"/>
        <a:ext cx="915888" cy="279346"/>
      </dsp:txXfrm>
    </dsp:sp>
    <dsp:sp modelId="{0110F9E9-B0F7-4F6F-92E5-EC9B5CABD939}">
      <dsp:nvSpPr>
        <dsp:cNvPr id="0" name=""/>
        <dsp:cNvSpPr/>
      </dsp:nvSpPr>
      <dsp:spPr>
        <a:xfrm>
          <a:off x="3595044" y="1970232"/>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6 wskaźników</a:t>
          </a:r>
        </a:p>
      </dsp:txBody>
      <dsp:txXfrm>
        <a:off x="3595044" y="1970232"/>
        <a:ext cx="915888" cy="279346"/>
      </dsp:txXfrm>
    </dsp:sp>
    <dsp:sp modelId="{B66C4C47-71D3-4064-B0BE-4378C243DADC}">
      <dsp:nvSpPr>
        <dsp:cNvPr id="0" name=""/>
        <dsp:cNvSpPr/>
      </dsp:nvSpPr>
      <dsp:spPr>
        <a:xfrm>
          <a:off x="1396910" y="2364064"/>
          <a:ext cx="915888" cy="279346"/>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latin typeface="Times New Roman" panose="02020603050405020304" pitchFamily="18" charset="0"/>
              <a:cs typeface="Times New Roman" panose="02020603050405020304" pitchFamily="18" charset="0"/>
            </a:rPr>
            <a:t>7. Ochrona środowiska</a:t>
          </a:r>
        </a:p>
      </dsp:txBody>
      <dsp:txXfrm>
        <a:off x="1396910" y="2364064"/>
        <a:ext cx="915888" cy="279346"/>
      </dsp:txXfrm>
    </dsp:sp>
    <dsp:sp modelId="{9D4785E7-A4DF-4B6D-861F-6F3BD81A9EA0}">
      <dsp:nvSpPr>
        <dsp:cNvPr id="0" name=""/>
        <dsp:cNvSpPr/>
      </dsp:nvSpPr>
      <dsp:spPr>
        <a:xfrm>
          <a:off x="2495977" y="2364064"/>
          <a:ext cx="915888" cy="279346"/>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1" kern="1200">
              <a:latin typeface="Times New Roman" panose="02020603050405020304" pitchFamily="18" charset="0"/>
              <a:cs typeface="Times New Roman" panose="02020603050405020304" pitchFamily="18" charset="0"/>
            </a:rPr>
            <a:t>0,07</a:t>
          </a:r>
        </a:p>
      </dsp:txBody>
      <dsp:txXfrm>
        <a:off x="2495977" y="2364064"/>
        <a:ext cx="915888" cy="279346"/>
      </dsp:txXfrm>
    </dsp:sp>
    <dsp:sp modelId="{7E984667-EE27-4A37-8087-9FC87A70835C}">
      <dsp:nvSpPr>
        <dsp:cNvPr id="0" name=""/>
        <dsp:cNvSpPr/>
      </dsp:nvSpPr>
      <dsp:spPr>
        <a:xfrm>
          <a:off x="3595044" y="2364064"/>
          <a:ext cx="915888" cy="27934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b="0" i="1" kern="1200">
              <a:latin typeface="Times New Roman" panose="02020603050405020304" pitchFamily="18" charset="0"/>
              <a:cs typeface="Times New Roman" panose="02020603050405020304" pitchFamily="18" charset="0"/>
            </a:rPr>
            <a:t>10 wskaźników</a:t>
          </a:r>
        </a:p>
      </dsp:txBody>
      <dsp:txXfrm>
        <a:off x="3595044" y="2364064"/>
        <a:ext cx="915888" cy="27934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D811-AA8C-4FA7-A2F1-8CAB201966E0}">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1</TotalTime>
  <Pages>46</Pages>
  <Words>12667</Words>
  <Characters>76008</Characters>
  <Application>Microsoft Office Word</Application>
  <DocSecurity>4</DocSecurity>
  <Lines>633</Lines>
  <Paragraphs>176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Chłoń-Domińczak</dc:creator>
  <cp:lastModifiedBy>Agnieszka Chłoń-Domińczak</cp:lastModifiedBy>
  <cp:revision>2</cp:revision>
  <cp:lastPrinted>2024-08-22T11:23:00Z</cp:lastPrinted>
  <dcterms:created xsi:type="dcterms:W3CDTF">2024-08-27T11:45:00Z</dcterms:created>
  <dcterms:modified xsi:type="dcterms:W3CDTF">2024-08-27T11:45:00Z</dcterms:modified>
</cp:coreProperties>
</file>